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64B90">
      <w:pPr>
        <w:ind w:right="60"/>
        <w:jc w:val="center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ДОГОВОР №______ / ____________</w:t>
      </w:r>
    </w:p>
    <w:p w14:paraId="3AEA72C2">
      <w:pPr>
        <w:ind w:right="60"/>
        <w:jc w:val="both"/>
        <w:rPr>
          <w:sz w:val="21"/>
          <w:szCs w:val="21"/>
        </w:rPr>
      </w:pPr>
      <w:r>
        <w:rPr>
          <w:b/>
          <w:sz w:val="20"/>
          <w:szCs w:val="20"/>
        </w:rPr>
        <w:t>“  _____”   _______________20</w:t>
      </w:r>
      <w:r>
        <w:rPr>
          <w:rFonts w:hint="default"/>
          <w:b/>
          <w:sz w:val="20"/>
          <w:szCs w:val="20"/>
          <w:lang w:val="ru-RU"/>
        </w:rPr>
        <w:t>26</w:t>
      </w:r>
      <w:r>
        <w:rPr>
          <w:b/>
          <w:sz w:val="20"/>
          <w:szCs w:val="20"/>
        </w:rPr>
        <w:t xml:space="preserve">  г.                                                                                                      г. Санкт-Петербург</w:t>
      </w:r>
    </w:p>
    <w:p w14:paraId="308D23FD">
      <w:pPr>
        <w:ind w:right="60"/>
        <w:jc w:val="both"/>
        <w:rPr>
          <w:sz w:val="21"/>
          <w:szCs w:val="21"/>
        </w:rPr>
      </w:pPr>
    </w:p>
    <w:p w14:paraId="114E99EC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Мы нижеподписавшиеся  :______________________________________________________________________________</w:t>
      </w:r>
    </w:p>
    <w:p w14:paraId="14F8275D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именуемый в дальнейшем    </w:t>
      </w:r>
      <w:r>
        <w:rPr>
          <w:b/>
          <w:sz w:val="21"/>
          <w:szCs w:val="21"/>
        </w:rPr>
        <w:t>«Покупатель»,</w:t>
      </w:r>
      <w:r>
        <w:rPr>
          <w:sz w:val="21"/>
          <w:szCs w:val="21"/>
        </w:rPr>
        <w:t xml:space="preserve"> с одной стороны и  </w:t>
      </w:r>
      <w:r>
        <w:rPr>
          <w:b/>
          <w:sz w:val="21"/>
          <w:szCs w:val="21"/>
        </w:rPr>
        <w:t>Общество с Ограниченной Ответственностью  «</w:t>
      </w:r>
      <w:r>
        <w:rPr>
          <w:b/>
          <w:sz w:val="21"/>
          <w:szCs w:val="21"/>
          <w:lang w:val="ru-RU"/>
        </w:rPr>
        <w:t>ЭКСПО</w:t>
      </w:r>
      <w:r>
        <w:rPr>
          <w:rFonts w:hint="default"/>
          <w:b/>
          <w:sz w:val="21"/>
          <w:szCs w:val="21"/>
          <w:lang w:val="ru-RU"/>
        </w:rPr>
        <w:t xml:space="preserve"> М</w:t>
      </w:r>
      <w:r>
        <w:rPr>
          <w:b/>
          <w:sz w:val="21"/>
          <w:szCs w:val="21"/>
        </w:rPr>
        <w:t>»,</w:t>
      </w:r>
      <w:r>
        <w:rPr>
          <w:sz w:val="21"/>
          <w:szCs w:val="21"/>
        </w:rPr>
        <w:t xml:space="preserve"> в лице  </w:t>
      </w:r>
      <w:r>
        <w:rPr>
          <w:b/>
          <w:sz w:val="21"/>
          <w:szCs w:val="21"/>
        </w:rPr>
        <w:t>Генерального директора  К</w:t>
      </w:r>
      <w:r>
        <w:rPr>
          <w:b/>
          <w:sz w:val="21"/>
          <w:szCs w:val="21"/>
          <w:lang w:val="ru-RU"/>
        </w:rPr>
        <w:t>урдюкова</w:t>
      </w:r>
      <w:r>
        <w:rPr>
          <w:rFonts w:hint="default"/>
          <w:b/>
          <w:sz w:val="21"/>
          <w:szCs w:val="21"/>
          <w:lang w:val="ru-RU"/>
        </w:rPr>
        <w:t xml:space="preserve"> С.В</w:t>
      </w:r>
      <w:r>
        <w:rPr>
          <w:b/>
          <w:sz w:val="21"/>
          <w:szCs w:val="21"/>
        </w:rPr>
        <w:t xml:space="preserve">., </w:t>
      </w:r>
      <w:r>
        <w:rPr>
          <w:sz w:val="21"/>
          <w:szCs w:val="21"/>
        </w:rPr>
        <w:t>действующе</w:t>
      </w:r>
      <w:r>
        <w:rPr>
          <w:sz w:val="21"/>
          <w:szCs w:val="21"/>
          <w:lang w:val="ru-RU"/>
        </w:rPr>
        <w:t>го</w:t>
      </w:r>
      <w:r>
        <w:rPr>
          <w:sz w:val="21"/>
          <w:szCs w:val="21"/>
        </w:rPr>
        <w:t xml:space="preserve"> на основании Устава, именуемое в дальнейшем </w:t>
      </w:r>
      <w:r>
        <w:rPr>
          <w:b/>
          <w:sz w:val="21"/>
          <w:szCs w:val="21"/>
        </w:rPr>
        <w:t>«Продавец</w:t>
      </w:r>
      <w:r>
        <w:rPr>
          <w:sz w:val="21"/>
          <w:szCs w:val="21"/>
        </w:rPr>
        <w:t xml:space="preserve">», с другой стороны, именуемые далее «Стороны», заключили настоящий договор, далее «Договор», о нижеследующем:  </w:t>
      </w:r>
    </w:p>
    <w:p w14:paraId="1D3C4920">
      <w:pPr>
        <w:ind w:right="6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1.Предмет договора.</w:t>
      </w:r>
    </w:p>
    <w:p w14:paraId="27830F81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>1.1. По настоящему договору Продавец обязуется продать и  установить металлический дверной блок (далее МДБ) Покупателю по адресу: ________________________________________________________________</w:t>
      </w:r>
    </w:p>
    <w:p w14:paraId="16505CE8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</w:t>
      </w:r>
    </w:p>
    <w:p w14:paraId="2B9B2F63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>конструкция, комплектация и особенности установки которого согласованы с Покупателем, что отражается в Приложениях № 1 (комплектация заказа) и №2 (замерный лист) к настоящему договору.</w:t>
      </w:r>
    </w:p>
    <w:p w14:paraId="017DBA22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>1.2. Покупатель обязуется оплатить и принять МДБ и  работы выполненные  Продавцом согласно настоящего договора. Переход права собственности на МДБ к Покупателю наступает после полной оплаты  всей стоимости договора и подписания акта приема-передачи выполненных работ.</w:t>
      </w:r>
    </w:p>
    <w:p w14:paraId="74F2BC66">
      <w:pPr>
        <w:ind w:right="60"/>
        <w:jc w:val="center"/>
        <w:rPr>
          <w:sz w:val="21"/>
          <w:szCs w:val="21"/>
        </w:rPr>
      </w:pPr>
      <w:r>
        <w:rPr>
          <w:b/>
          <w:sz w:val="21"/>
          <w:szCs w:val="21"/>
        </w:rPr>
        <w:t>2. Стоимость</w:t>
      </w:r>
      <w:r>
        <w:rPr>
          <w:sz w:val="21"/>
          <w:szCs w:val="21"/>
        </w:rPr>
        <w:t>.</w:t>
      </w:r>
    </w:p>
    <w:p w14:paraId="178DD9CF">
      <w:pPr>
        <w:ind w:right="60"/>
        <w:rPr>
          <w:sz w:val="21"/>
          <w:szCs w:val="21"/>
        </w:rPr>
      </w:pPr>
      <w:r>
        <w:rPr>
          <w:sz w:val="21"/>
          <w:szCs w:val="21"/>
        </w:rPr>
        <w:t>2.1. Стоимость МДБ и подлежащих выполнению монтажных работ по договору определена Сторонами в Приложении №1 к договору и составляет _________________________________________________________________</w:t>
      </w:r>
    </w:p>
    <w:p w14:paraId="5A9A5B94">
      <w:pPr>
        <w:ind w:right="60"/>
        <w:rPr>
          <w:sz w:val="21"/>
          <w:szCs w:val="21"/>
        </w:rPr>
      </w:pPr>
      <w:r>
        <w:rPr>
          <w:sz w:val="21"/>
          <w:szCs w:val="21"/>
        </w:rPr>
        <w:t>______________________________________________________________________________________________рублей</w:t>
      </w:r>
    </w:p>
    <w:p w14:paraId="3945BD48">
      <w:pPr>
        <w:ind w:right="6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3. Обязанности сторон.</w:t>
      </w:r>
    </w:p>
    <w:p w14:paraId="5EF6E1E2">
      <w:pPr>
        <w:ind w:right="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3.1. Продавец обязан:</w:t>
      </w:r>
    </w:p>
    <w:p w14:paraId="1CD1F4F8">
      <w:pPr>
        <w:ind w:right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3.1.1. При осуществлении замеров дверного проема информировать Покупателя о выявленных обстоятельствах, которые могут снизить качество монтажа МДБ (неровность стен, материалы из которых они изготовлены и их состояние, нарушение геометрии проема, и т.п. ) и предложить варианты их устранения, согласно Приложению № 2. </w:t>
      </w:r>
    </w:p>
    <w:p w14:paraId="20D176BF">
      <w:pPr>
        <w:ind w:right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3.1.2. Осуществить доставку и установку  дверного блока по адресу, предоставленному Покупателем, при условии выполнения Покупателем п. 6.1 и п. 6.4 настоящего договора, в течение ______ рабочих дней, </w:t>
      </w:r>
      <w:r>
        <w:rPr>
          <w:b/>
          <w:sz w:val="22"/>
          <w:szCs w:val="22"/>
        </w:rPr>
        <w:t>но не позднее ___  рабочих дней со дня окончательного согласования</w:t>
      </w:r>
      <w:r>
        <w:rPr>
          <w:sz w:val="22"/>
          <w:szCs w:val="22"/>
        </w:rPr>
        <w:t xml:space="preserve"> с Покупателем вопросов, связанных с изготовлением и монтажом дверного блока. Если Покупатель пожелает, чтобы дверной блок был изготовлен с применением его материалов (замок, фурнитура, отделочные панели и т.п.), то срок изготовления дверного блока определяется соглашением между сторонами после доставки данных материалов на склад Продавца.</w:t>
      </w:r>
    </w:p>
    <w:p w14:paraId="0F652C0F">
      <w:pPr>
        <w:ind w:right="60"/>
        <w:jc w:val="both"/>
        <w:rPr>
          <w:sz w:val="22"/>
          <w:szCs w:val="22"/>
        </w:rPr>
      </w:pPr>
      <w:r>
        <w:rPr>
          <w:sz w:val="22"/>
          <w:szCs w:val="22"/>
        </w:rPr>
        <w:t>3.1.3. Информировать Покупателя о необходимости проведения новых дополнительных работах, не предусмотренных в Приложении №2 о которых стало известно после демонтажа дверного блока Покупателя,  и которые нельзя было предусмотреть при замере МДБ. В этом случае после внесения Покупателем платы согласно действующему прайс-листу Продавец вносит изменения в акт приёма-передачи и производит соответствующие работы.</w:t>
      </w:r>
    </w:p>
    <w:p w14:paraId="4A6660F0">
      <w:pPr>
        <w:ind w:right="60"/>
        <w:jc w:val="both"/>
        <w:rPr>
          <w:sz w:val="22"/>
          <w:szCs w:val="22"/>
        </w:rPr>
      </w:pPr>
      <w:r>
        <w:rPr>
          <w:sz w:val="22"/>
          <w:szCs w:val="22"/>
        </w:rPr>
        <w:t>3.1.4.Осуществлять гарантийный ремонт дверного блока в соответствии с п.7 настоящего договора.</w:t>
      </w:r>
    </w:p>
    <w:p w14:paraId="02314B7E">
      <w:pPr>
        <w:ind w:right="60"/>
        <w:jc w:val="both"/>
        <w:rPr>
          <w:sz w:val="21"/>
          <w:szCs w:val="21"/>
        </w:rPr>
      </w:pPr>
      <w:r>
        <w:rPr>
          <w:sz w:val="22"/>
          <w:szCs w:val="22"/>
        </w:rPr>
        <w:t xml:space="preserve">3.1.5. </w:t>
      </w:r>
      <w:r>
        <w:rPr>
          <w:sz w:val="21"/>
          <w:szCs w:val="21"/>
        </w:rPr>
        <w:t xml:space="preserve">Продавец выполняет замер МДБ максимально удобным для себя способом. Если требуется проводить дополнительную подготовку проёма  для замера МДБ, Продавец информирует Покупателя о необходимости проведения таких работ. Подготовка проёма может быть выполнена силами Продавца или силами Покупателя. Продавец не несет ответственности за частичное разрушение старой обивки, отделки, штукатурки и т.д. при подготовке проёма к замеру.  При необходимости повторного выезда Продавца на замер его стоимость составит </w:t>
      </w:r>
      <w:r>
        <w:rPr>
          <w:rFonts w:hint="default"/>
          <w:sz w:val="21"/>
          <w:szCs w:val="21"/>
          <w:lang w:val="ru-RU"/>
        </w:rPr>
        <w:t xml:space="preserve">2  </w:t>
      </w:r>
      <w:r>
        <w:rPr>
          <w:sz w:val="21"/>
          <w:szCs w:val="21"/>
        </w:rPr>
        <w:t>000 рублей.</w:t>
      </w:r>
    </w:p>
    <w:p w14:paraId="1256896C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3.1.6. Произвести установку декоративных наличников (в случае заказа данной позиции в соответствии  с Приложением №1 настоящего договора) в срок не позднее 10 рабочих дней с момента установки МДБ (при отсутствии на складе Продавца в день установки). При отказе от установки наличников со стороны Покупателя  в день монтажа МДБ, наличники устанавливаются силами Покупателя или сервисной службой Продавца на платной основе. </w:t>
      </w:r>
    </w:p>
    <w:p w14:paraId="249B56E6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3.1.7.  При установке МДБ с перекодируемыми замками выполнить их перекодировку монтажной бригадой. При получении от Покупателя письменного отказа от перекодировки замка, об этом делается отметка в акте-приёмки, Покупателю выдается комплект ключей для перекодировки и монтажный ключ от замка. В последствие перекодировка замка может производиться силами Продавца, но за счет Покупателя.</w:t>
      </w:r>
    </w:p>
    <w:p w14:paraId="71D7699F">
      <w:pPr>
        <w:ind w:right="60"/>
        <w:jc w:val="both"/>
        <w:rPr>
          <w:sz w:val="21"/>
          <w:szCs w:val="21"/>
        </w:rPr>
      </w:pPr>
    </w:p>
    <w:p w14:paraId="6A960280">
      <w:pPr>
        <w:ind w:right="60"/>
        <w:jc w:val="both"/>
        <w:rPr>
          <w:sz w:val="21"/>
          <w:szCs w:val="21"/>
        </w:rPr>
      </w:pPr>
    </w:p>
    <w:p w14:paraId="1C1317AB">
      <w:pPr>
        <w:ind w:right="60"/>
        <w:jc w:val="both"/>
        <w:rPr>
          <w:sz w:val="21"/>
          <w:szCs w:val="21"/>
        </w:rPr>
      </w:pPr>
    </w:p>
    <w:p w14:paraId="2E70D91D">
      <w:pPr>
        <w:ind w:right="60"/>
        <w:jc w:val="both"/>
        <w:rPr>
          <w:sz w:val="21"/>
          <w:szCs w:val="21"/>
        </w:rPr>
      </w:pPr>
    </w:p>
    <w:p w14:paraId="518F8792">
      <w:pPr>
        <w:ind w:right="60"/>
        <w:jc w:val="both"/>
        <w:rPr>
          <w:sz w:val="21"/>
          <w:szCs w:val="21"/>
        </w:rPr>
      </w:pPr>
    </w:p>
    <w:p w14:paraId="50C2569B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Продавец   ___________________                                                        Покупатель_________________</w:t>
      </w:r>
    </w:p>
    <w:p w14:paraId="50D3927A">
      <w:pPr>
        <w:ind w:right="60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3.2. Обязанности Покупателя:</w:t>
      </w:r>
    </w:p>
    <w:p w14:paraId="7F7ACF3B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3.2.1. Согласовать дату, а также временной интервал необходимый для передачи и проведения работ по установке МДБ с Продавцом.</w:t>
      </w:r>
    </w:p>
    <w:p w14:paraId="75B155E9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3.2.2. Оплатить МДБ и работы по его монтажу в порядке и сроки, указанные в настоящем Договоре.</w:t>
      </w:r>
    </w:p>
    <w:p w14:paraId="10A4D94F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3.2.3. Обеспечить своё личное присутствие или присутствие доверенного лица (указанного в Договоре) для организации процесса установки МДБ,  подписания акта приёмки-передачи МДБ и проведенных работ а также для получения комплектов ключей и фурнитуры согласно комплектации заказа.  </w:t>
      </w:r>
    </w:p>
    <w:p w14:paraId="2F1B5341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3.2.4. Подготовить помещение для производства работ по установке дверного блока: укрыть во избежание порчи мебель, пол, убрать мешающие работе предметы в радиусе 3-4 метров. Укрыть датчики пожарного извещения в квартире и общем коридоре на время монтажных работ для предотвращения их ложного срабатывания. Обеспечить отсутствие в непосредственной близости рядом с проемом легковоспламеняющихся и горючих веществ и материалов.</w:t>
      </w:r>
    </w:p>
    <w:p w14:paraId="637D9805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3.2.5. Обеспечить Продавца электроэнергией 220в мощностью до 3 кВт в непосредственной близости от места установки, а также светом, водой и канализацией. </w:t>
      </w:r>
    </w:p>
    <w:p w14:paraId="3A03AE3C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3.2.6. Информировать Продавца об исправности грузового  лифта. В случае невозможности осуществить подъём МДБ (либо элементов конструкции, материалов) лифтом,  подъём осуществляется силами Продавца после оплаты Покупателем стоимости подъёма МДБ или материалов по действующему прайсу. </w:t>
      </w:r>
    </w:p>
    <w:p w14:paraId="5A2EF262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3.2.7. Точно указать места прохождения электро-коммуникаций перед замером и установкой МДБ.</w:t>
      </w:r>
    </w:p>
    <w:p w14:paraId="55948C11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3.2.8.  Обеспечить возможность проезда автотранспорта Продавца к зданию (строению) на расстояние не далее 20 метров, обеспечить удобные подходы к месту установки двери.</w:t>
      </w:r>
    </w:p>
    <w:p w14:paraId="656BAD7C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3.2.9.  Решать проблемы создаваемые лицами, мешающими проведению монтажных работ на месте установки. </w:t>
      </w:r>
    </w:p>
    <w:p w14:paraId="146ECC2E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3.2.10. Принять МДБ и работы по его монтажу в порядке и сроки, указанные в настоящем Договоре.</w:t>
      </w:r>
      <w:r>
        <w:rPr>
          <w:b/>
          <w:sz w:val="21"/>
          <w:szCs w:val="21"/>
        </w:rPr>
        <w:t xml:space="preserve">                                                                      </w:t>
      </w:r>
    </w:p>
    <w:p w14:paraId="7798284A">
      <w:pPr>
        <w:ind w:right="60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  </w:t>
      </w:r>
    </w:p>
    <w:p w14:paraId="6AB24CDF">
      <w:pPr>
        <w:ind w:right="6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4. Ответственность сторон.</w:t>
      </w:r>
    </w:p>
    <w:p w14:paraId="0E4A7930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4.1. Изменение условий Договора и его приложений  допускаются только в случае вступления в силу п. 3.1.3. настоящего Договора.</w:t>
      </w:r>
    </w:p>
    <w:p w14:paraId="6361DABB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4.2. За неисполнение обязательств по договору Стороны несут ответственность в соответствии с условиями, предусмотренными настоящим договором и действующим Законодательством.</w:t>
      </w:r>
    </w:p>
    <w:p w14:paraId="3C93501B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4.3. В случае полного или частичного невыполнения Покупателем обязательств, указанных в п.3.2 договора, Продавец вправе отказаться от установки МДБ. В этом случае Покупатель обязан согласовать дату повторной  установки  МДБ  в течение 5 рабочих дней с момента возникновения  неисполнения данных обязательств, с уплатой Продавцу стоимости повторного выезда  в размере </w:t>
      </w:r>
      <w:r>
        <w:rPr>
          <w:rFonts w:hint="default"/>
          <w:sz w:val="21"/>
          <w:szCs w:val="21"/>
          <w:lang w:val="ru-RU"/>
        </w:rPr>
        <w:t>70</w:t>
      </w:r>
      <w:r>
        <w:rPr>
          <w:sz w:val="21"/>
          <w:szCs w:val="21"/>
        </w:rPr>
        <w:t>00 рублей. Оплата компенсации производится Покупателем  перед повторной  установкой.</w:t>
      </w:r>
    </w:p>
    <w:p w14:paraId="213D746C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4.4. Если дверной блок не может быть установлен по вине Покупателя после согласования повторной установки по причине невыполнения пункта 3.2. (а также в случае полного или частичного отказа Покупателя  от своих обязательств), Продавец оставляет за собой право реализовать МДБ третьим лицам. В этом случае, Продавец вправе взыскать  в свою пользу 30% от стоимости МДБ в виде неустойки, а также убытков, причиненных Продавцу данным нарушением обязательств со стороны Покупателя. </w:t>
      </w:r>
    </w:p>
    <w:p w14:paraId="00860732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4.5. В случае отсутствия Покупателя или его представителя (указанного в договоре) по указанному в п.п. 1.1. адресу, в согласованное с Продавцом  время  для произведения монтажных работ, более 1(одного) часа Продавец вправе отказаться от установки МДБ, потребовать от Покупателя назначения повторной установки в течении 5 рабочих дней с уплатой Продавцу компенсации в размере </w:t>
      </w:r>
      <w:r>
        <w:rPr>
          <w:rFonts w:hint="default"/>
          <w:sz w:val="21"/>
          <w:szCs w:val="21"/>
          <w:lang w:val="ru-RU"/>
        </w:rPr>
        <w:t>70</w:t>
      </w:r>
      <w:r>
        <w:rPr>
          <w:sz w:val="21"/>
          <w:szCs w:val="21"/>
        </w:rPr>
        <w:t>00 рублей.</w:t>
      </w:r>
    </w:p>
    <w:p w14:paraId="1599D766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4.6. При необоснованном уклонении Покупателя от принятия МДБ и выполненной работы, риск случайной гибели или случайного повреждения МДБ и результатов выполненной работы признается перешедшим к Покупателю с момента, когда сдача-приемка работы по условиям настоящего договора должна была состояться.</w:t>
      </w:r>
    </w:p>
    <w:p w14:paraId="27BF424E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4.7. Продавец не несет ответственности за разрушение электропроводки в процессе замера и установки МДБ, в пределах расстояния необходимого для проведения работ, если Покупатель не выполнил условия п. 3.2.7. договора.</w:t>
      </w:r>
    </w:p>
    <w:p w14:paraId="63882E9F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4.8. Продавец не несёт ответственности за возможное неравномерное отбитие материала дверного проёма (штукатурки, краски, обоев и других отделочных материалов), а так же сколы по периметру дверного проёма и иные повреждения стен, пола в непосредственной близости  к дверному проему при работах с проёмом по замеру и установке  МДБ.</w:t>
      </w:r>
    </w:p>
    <w:p w14:paraId="7E9896A9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4.9. В случае нарушения срока выполнения своих обязательств, виновная сторона выплачивает другой стороне пени в размере 0,1 % от стоимости договора, за каждый день просрочки, но не более 10% от стоимости МДБ. </w:t>
      </w:r>
    </w:p>
    <w:p w14:paraId="01CEE14B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4.</w:t>
      </w:r>
      <w:r>
        <w:rPr>
          <w:sz w:val="21"/>
          <w:szCs w:val="21"/>
          <w:lang w:val="en-US"/>
        </w:rPr>
        <w:t>10</w:t>
      </w:r>
      <w:r>
        <w:rPr>
          <w:sz w:val="21"/>
          <w:szCs w:val="21"/>
        </w:rPr>
        <w:t>. Хранение МДБ Покупателя на складе Продавца допускается в случае выполнения пункта 6.4. настоящего договора. При длительном хранении МДБ (более одного месяца) в случае увеличения расценок на работы по установке Продавец вправе потребовать возмещения разницы между старыми и новыми расценками с Покупателя.</w:t>
      </w:r>
    </w:p>
    <w:p w14:paraId="62FF64D7">
      <w:pPr>
        <w:ind w:right="6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5. Исполнение обязательств по договору.</w:t>
      </w:r>
    </w:p>
    <w:p w14:paraId="7F8A229F">
      <w:pPr>
        <w:ind w:right="60"/>
        <w:rPr>
          <w:sz w:val="21"/>
          <w:szCs w:val="21"/>
        </w:rPr>
      </w:pPr>
      <w:r>
        <w:rPr>
          <w:sz w:val="21"/>
          <w:szCs w:val="21"/>
        </w:rPr>
        <w:t>5.1.   Настоящий договор вступает в силу с момента подписания его сторонами.</w:t>
      </w:r>
    </w:p>
    <w:p w14:paraId="1CEB24E8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5.2.  Приёмка по комплектности и соответствию внешнего вида МДБ (см. Приложение №1 к Договору)  фиксируется Покупателем  путём подписи Покупателя в соответствующем разделе акта приёмки-передачи.</w:t>
      </w:r>
    </w:p>
    <w:p w14:paraId="1CA468CD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5.3. Обязательства Продавца по настоящему договору считаются исполненными после передачи и установки МДБ по адресу, указанному Покупателем в договоре. Выполнение Продавцом  обязательств по договору не утрачивает интерес для Покупателя до окончания срока действия договора. </w:t>
      </w:r>
    </w:p>
    <w:p w14:paraId="1667B38B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5.4. При обнаружении недостатков МДБ или некачественно произведённых работ, Покупатель предоставляет письменное требование с описанием возникшей проблемы, а Продавец устраняет указанные недостатки в сроки не позднее 2 (двух) рабочих недель. При не предоставлении Продавцу возможности устранить недостатки, произошедшие по вине Продавца, Продавец не несёт ответственности за последствия использования МДБ с недостатками. </w:t>
      </w:r>
    </w:p>
    <w:p w14:paraId="20EFD208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5.5. Обязательства Покупателя по настоящему договору считаются исполненными после оплаты им всей стоимости по настоящему договору и подписанию акта приёмки-передачи МДБ и выполненных работ.</w:t>
      </w:r>
    </w:p>
    <w:p w14:paraId="0D361A65">
      <w:pPr>
        <w:ind w:right="60"/>
        <w:jc w:val="both"/>
        <w:rPr>
          <w:sz w:val="21"/>
          <w:szCs w:val="21"/>
        </w:rPr>
      </w:pPr>
    </w:p>
    <w:p w14:paraId="0780B52E">
      <w:pPr>
        <w:ind w:right="6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6. Порядок расчётов.</w:t>
      </w:r>
    </w:p>
    <w:p w14:paraId="0B9C8BC7">
      <w:pPr>
        <w:rPr>
          <w:sz w:val="21"/>
          <w:szCs w:val="21"/>
        </w:rPr>
      </w:pPr>
      <w:r>
        <w:rPr>
          <w:sz w:val="21"/>
          <w:szCs w:val="21"/>
        </w:rPr>
        <w:t xml:space="preserve">6.1.  Договор считается принятым к исполнению с момента оплаты  Покупателем авансового платежа не менее 70% от общей стоимости указанной в пункте 2.1 настоящего договора. Авансовый платеж составляет  _______________________________________________________________________________________________рублей. </w:t>
      </w:r>
    </w:p>
    <w:p w14:paraId="3AF79A08">
      <w:pPr>
        <w:rPr>
          <w:sz w:val="21"/>
          <w:szCs w:val="21"/>
        </w:rPr>
      </w:pPr>
      <w:r>
        <w:rPr>
          <w:sz w:val="21"/>
          <w:szCs w:val="21"/>
        </w:rPr>
        <w:t xml:space="preserve">6.2.  Внесение наличных или электронных денежных средств по договору  </w:t>
      </w:r>
      <w:r>
        <w:rPr>
          <w:bCs/>
          <w:sz w:val="21"/>
          <w:szCs w:val="21"/>
        </w:rPr>
        <w:t>сопровождается</w:t>
      </w:r>
      <w:r>
        <w:rPr>
          <w:sz w:val="21"/>
          <w:szCs w:val="21"/>
        </w:rPr>
        <w:t xml:space="preserve"> </w:t>
      </w:r>
      <w:r>
        <w:rPr>
          <w:bCs/>
          <w:sz w:val="21"/>
          <w:szCs w:val="21"/>
        </w:rPr>
        <w:t>выдачей</w:t>
      </w:r>
      <w:r>
        <w:rPr>
          <w:sz w:val="21"/>
          <w:szCs w:val="21"/>
        </w:rPr>
        <w:t xml:space="preserve">  </w:t>
      </w:r>
      <w:r>
        <w:rPr>
          <w:bCs/>
          <w:sz w:val="21"/>
          <w:szCs w:val="21"/>
        </w:rPr>
        <w:t>кассового</w:t>
      </w:r>
      <w:r>
        <w:rPr>
          <w:sz w:val="21"/>
          <w:szCs w:val="21"/>
        </w:rPr>
        <w:t xml:space="preserve"> </w:t>
      </w:r>
      <w:r>
        <w:rPr>
          <w:bCs/>
          <w:sz w:val="21"/>
          <w:szCs w:val="21"/>
        </w:rPr>
        <w:t>чека.</w:t>
      </w:r>
    </w:p>
    <w:p w14:paraId="7E61924B">
      <w:pPr>
        <w:rPr>
          <w:sz w:val="21"/>
          <w:szCs w:val="21"/>
        </w:rPr>
      </w:pPr>
      <w:r>
        <w:rPr>
          <w:sz w:val="21"/>
          <w:szCs w:val="21"/>
        </w:rPr>
        <w:t xml:space="preserve">6.3.  При поступлении МДБ на склад Продавец извещает  Покупателя по телефону, указанному в приложении №2 к договору. В случае если номера телефонов не указаны или указаны неверно или не работают, Продавец освобождается от ответственности за соблюдение сроков доставки МДБ по договору. </w:t>
      </w:r>
    </w:p>
    <w:p w14:paraId="0F5FACDC">
      <w:pPr>
        <w:rPr>
          <w:sz w:val="21"/>
          <w:szCs w:val="21"/>
        </w:rPr>
      </w:pPr>
      <w:r>
        <w:rPr>
          <w:sz w:val="21"/>
          <w:szCs w:val="21"/>
        </w:rPr>
        <w:t>6.4.  В течение 7-и рабочих дней с момента извещения о поступлении МДБ на склад Покупатель обязуется осуществить доплату в размере __________________________________________________________________   рублей в офисе Продавца по адресу: Ленинский пр-т, д.140, или безналичным способом на расчётный счёт указанный в реквизитах к данному договору (без НДС).</w:t>
      </w:r>
    </w:p>
    <w:p w14:paraId="43F5965B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6.5. При невыполнении пункта 6.4. к Покупателю может быть применен пункт 4.9. настоящего договора.</w:t>
      </w:r>
    </w:p>
    <w:p w14:paraId="7C2AA9DF">
      <w:pPr>
        <w:rPr>
          <w:sz w:val="21"/>
          <w:szCs w:val="21"/>
        </w:rPr>
      </w:pPr>
    </w:p>
    <w:p w14:paraId="0930DB4F">
      <w:pPr>
        <w:ind w:right="6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7. Гарантийные обязательства.</w:t>
      </w:r>
    </w:p>
    <w:p w14:paraId="67037365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>7.1.  Гарантийный срок на металлический дверной блок составляет:</w:t>
      </w:r>
    </w:p>
    <w:p w14:paraId="3AF4311A">
      <w:pPr>
        <w:ind w:right="-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 xml:space="preserve">на металлоконструкцию для моделей Н-110, Н-10.11,Н-10, Н-10М, Н-10В, Н-102, Н-101– </w:t>
      </w:r>
      <w:r>
        <w:rPr>
          <w:b/>
          <w:sz w:val="22"/>
          <w:szCs w:val="22"/>
        </w:rPr>
        <w:t>10 (десять) лет</w:t>
      </w:r>
    </w:p>
    <w:p w14:paraId="074CDAC0">
      <w:pPr>
        <w:ind w:right="-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>на металлоконструкцию для моделей  К-8</w:t>
      </w:r>
      <w:r>
        <w:rPr>
          <w:sz w:val="22"/>
          <w:szCs w:val="22"/>
          <w:lang w:val="en-US"/>
        </w:rPr>
        <w:t>L</w:t>
      </w:r>
      <w:r>
        <w:rPr>
          <w:sz w:val="22"/>
          <w:szCs w:val="22"/>
        </w:rPr>
        <w:t xml:space="preserve">, НД-1, К-7, К-8М, Т-1, Т-2, К-10, К-102, </w:t>
      </w:r>
    </w:p>
    <w:p w14:paraId="5D0F28EA">
      <w:pPr>
        <w:ind w:right="-2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К- 10.8, К-10.82, К-10В  – </w:t>
      </w:r>
      <w:r>
        <w:rPr>
          <w:b/>
          <w:sz w:val="22"/>
          <w:szCs w:val="22"/>
        </w:rPr>
        <w:t>5 (пять) лет</w:t>
      </w:r>
    </w:p>
    <w:p w14:paraId="5D33E13A">
      <w:pPr>
        <w:ind w:right="-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>на металлоконструкцию для моделей  Т-3,Т-3</w:t>
      </w:r>
      <w:r>
        <w:rPr>
          <w:sz w:val="22"/>
          <w:szCs w:val="22"/>
          <w:lang w:val="en-US"/>
        </w:rPr>
        <w:t>L</w:t>
      </w:r>
      <w:r>
        <w:rPr>
          <w:sz w:val="22"/>
          <w:szCs w:val="22"/>
        </w:rPr>
        <w:t>,</w:t>
      </w:r>
      <w:r>
        <w:rPr>
          <w:sz w:val="22"/>
          <w:szCs w:val="22"/>
          <w:lang w:val="en-US"/>
        </w:rPr>
        <w:t>T</w:t>
      </w:r>
      <w:r>
        <w:rPr>
          <w:sz w:val="22"/>
          <w:szCs w:val="22"/>
        </w:rPr>
        <w:t xml:space="preserve">5 – </w:t>
      </w:r>
      <w:r>
        <w:rPr>
          <w:b/>
          <w:sz w:val="22"/>
          <w:szCs w:val="22"/>
        </w:rPr>
        <w:t xml:space="preserve">2 (два года) </w:t>
      </w:r>
    </w:p>
    <w:p w14:paraId="0DF1D318">
      <w:pPr>
        <w:ind w:right="-2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- на полимерное напыление и покраску МДБ – </w:t>
      </w:r>
      <w:r>
        <w:rPr>
          <w:b/>
          <w:sz w:val="22"/>
          <w:szCs w:val="22"/>
        </w:rPr>
        <w:t>2 (два) года</w:t>
      </w:r>
    </w:p>
    <w:p w14:paraId="70C27640">
      <w:pPr>
        <w:ind w:right="-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>на замки и запорные механизмы установленные в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МДБ</w:t>
      </w:r>
      <w:r>
        <w:rPr>
          <w:b/>
          <w:sz w:val="22"/>
          <w:szCs w:val="22"/>
        </w:rPr>
        <w:t xml:space="preserve"> Т-3</w:t>
      </w:r>
      <w:r>
        <w:rPr>
          <w:sz w:val="22"/>
          <w:szCs w:val="22"/>
        </w:rPr>
        <w:t xml:space="preserve"> и </w:t>
      </w:r>
      <w:r>
        <w:rPr>
          <w:b/>
          <w:sz w:val="22"/>
          <w:szCs w:val="22"/>
        </w:rPr>
        <w:t>Т-3</w:t>
      </w:r>
      <w:r>
        <w:rPr>
          <w:b/>
          <w:sz w:val="22"/>
          <w:szCs w:val="22"/>
          <w:lang w:val="en-US"/>
        </w:rPr>
        <w:t>L</w:t>
      </w:r>
      <w:r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  <w:lang w:val="en-US"/>
        </w:rPr>
        <w:t>T</w:t>
      </w:r>
      <w:r>
        <w:rPr>
          <w:b/>
          <w:sz w:val="22"/>
          <w:szCs w:val="22"/>
        </w:rPr>
        <w:t>5</w:t>
      </w:r>
      <w:r>
        <w:rPr>
          <w:sz w:val="22"/>
          <w:szCs w:val="22"/>
        </w:rPr>
        <w:t xml:space="preserve"> гарантия – </w:t>
      </w:r>
      <w:r>
        <w:rPr>
          <w:b/>
          <w:sz w:val="22"/>
          <w:szCs w:val="22"/>
        </w:rPr>
        <w:t>1 (один год)</w:t>
      </w:r>
    </w:p>
    <w:p w14:paraId="4274753A">
      <w:pPr>
        <w:ind w:right="-2"/>
        <w:jc w:val="both"/>
        <w:rPr>
          <w:sz w:val="22"/>
          <w:szCs w:val="22"/>
        </w:rPr>
      </w:pPr>
      <w:r>
        <w:rPr>
          <w:b/>
          <w:sz w:val="22"/>
          <w:szCs w:val="22"/>
        </w:rPr>
        <w:t>-</w:t>
      </w:r>
      <w:r>
        <w:rPr>
          <w:sz w:val="22"/>
          <w:szCs w:val="22"/>
        </w:rPr>
        <w:t xml:space="preserve"> на замки, цилиндровые механизмы (</w:t>
      </w:r>
      <w:r>
        <w:rPr>
          <w:sz w:val="22"/>
          <w:szCs w:val="22"/>
          <w:lang w:val="en-US"/>
        </w:rPr>
        <w:t>EVVA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lang w:val="en-US"/>
        </w:rPr>
        <w:t>MOTTURA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lang w:val="en-US"/>
        </w:rPr>
        <w:t>CISA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lang w:val="en-US"/>
        </w:rPr>
        <w:t>SECUREMME</w:t>
      </w:r>
      <w:r>
        <w:rPr>
          <w:sz w:val="22"/>
          <w:szCs w:val="22"/>
        </w:rPr>
        <w:t xml:space="preserve">), запорные </w:t>
      </w:r>
    </w:p>
    <w:p w14:paraId="0605527C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механизмы (вертикальные  привода, шторку «Неман», девиаторы, блокираторы) – </w:t>
      </w:r>
      <w:r>
        <w:rPr>
          <w:b/>
          <w:sz w:val="22"/>
          <w:szCs w:val="22"/>
        </w:rPr>
        <w:t>1 (один) год</w:t>
      </w:r>
    </w:p>
    <w:p w14:paraId="14194188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>- на монтажные цилиндровые механизмы (</w:t>
      </w:r>
      <w:r>
        <w:rPr>
          <w:sz w:val="22"/>
          <w:szCs w:val="22"/>
          <w:lang w:val="en-US"/>
        </w:rPr>
        <w:t>FUARO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lang w:val="en-US"/>
        </w:rPr>
        <w:t>TITAN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lang w:val="en-US"/>
        </w:rPr>
        <w:t>KALE</w:t>
      </w:r>
      <w:r>
        <w:rPr>
          <w:sz w:val="22"/>
          <w:szCs w:val="22"/>
        </w:rPr>
        <w:t xml:space="preserve">) – </w:t>
      </w:r>
      <w:r>
        <w:rPr>
          <w:b/>
          <w:sz w:val="22"/>
          <w:szCs w:val="22"/>
        </w:rPr>
        <w:t>1 (один) год</w:t>
      </w:r>
    </w:p>
    <w:p w14:paraId="2E443ABD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на настройку регулировочных планок и смазку петель  - </w:t>
      </w:r>
      <w:r>
        <w:rPr>
          <w:b/>
          <w:sz w:val="22"/>
          <w:szCs w:val="22"/>
        </w:rPr>
        <w:t xml:space="preserve">1 (один) год </w:t>
      </w:r>
    </w:p>
    <w:p w14:paraId="39EEAB64">
      <w:pPr>
        <w:ind w:right="-2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- на декоративные панели, фурнитуру, уплотнители (резиновые и магнитные) - </w:t>
      </w:r>
      <w:r>
        <w:rPr>
          <w:b/>
          <w:sz w:val="22"/>
          <w:szCs w:val="22"/>
        </w:rPr>
        <w:t xml:space="preserve">1 (один) год  </w:t>
      </w:r>
    </w:p>
    <w:p w14:paraId="665D9801">
      <w:pPr>
        <w:ind w:right="-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>на цифровые и электронные комплектующие (видеокамеры, цифровые видео-глазки, сканеры отпечатков</w:t>
      </w:r>
    </w:p>
    <w:p w14:paraId="6520F055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пальцев) - </w:t>
      </w:r>
      <w:r>
        <w:rPr>
          <w:b/>
          <w:sz w:val="22"/>
          <w:szCs w:val="22"/>
        </w:rPr>
        <w:t xml:space="preserve">1 (один) год  </w:t>
      </w:r>
    </w:p>
    <w:p w14:paraId="43DA9D33">
      <w:pPr>
        <w:ind w:right="-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гарантия при взломе распространяется на МДБ серии «Н» (условия гарантии указаны в сертификате) </w:t>
      </w:r>
    </w:p>
    <w:p w14:paraId="79471786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Гарантийный срок исчисляется с момента передачи МДБ или комплектующих Покупателю.</w:t>
      </w:r>
    </w:p>
    <w:p w14:paraId="4E7BAD97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По истечении гарантийного срока Продавец выполняет обслуживание МДБ Покупателя по расценкам </w:t>
      </w:r>
    </w:p>
    <w:p w14:paraId="683ED781">
      <w:pPr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прайс- листа. </w:t>
      </w:r>
    </w:p>
    <w:p w14:paraId="0EE12C42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7.2. </w:t>
      </w:r>
      <w:r>
        <w:rPr>
          <w:b/>
          <w:sz w:val="21"/>
          <w:szCs w:val="21"/>
        </w:rPr>
        <w:t>Гарантия не распространяется в следующих случаях:</w:t>
      </w:r>
    </w:p>
    <w:p w14:paraId="0465BD82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- на МДБ установленный  силами  Покупателя</w:t>
      </w:r>
    </w:p>
    <w:p w14:paraId="0338DFB0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- на МДБ с «доработками» произведёнными  Покупателем.</w:t>
      </w:r>
    </w:p>
    <w:p w14:paraId="000D70F1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- на работу замков перекодировка которых  выполнена  Покупателем самостоятельно.</w:t>
      </w:r>
    </w:p>
    <w:p w14:paraId="4ED5AEAA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- на замки, цилиндровые механизмы, фурнитуру, декоративные панели и другие комплектующие</w:t>
      </w:r>
    </w:p>
    <w:p w14:paraId="49A0C467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предоставленные Покупателем, а также установленные,   Покупателем самостоятельно. </w:t>
      </w:r>
    </w:p>
    <w:p w14:paraId="0F294A79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- в случае повреждения двери и её комплектующих Покупателем, либо третьими лицами.</w:t>
      </w:r>
    </w:p>
    <w:p w14:paraId="3639A549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в случае повреждения лакокрасочного покрытия МДБ и декоративных панелей механическим воздействием </w:t>
      </w:r>
    </w:p>
    <w:p w14:paraId="062D2325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(в том числе сколы и царапины от ключей при неаккуратном открывании/закрывании запорных механизмов). </w:t>
      </w:r>
    </w:p>
    <w:p w14:paraId="2CD8FE03">
      <w:pPr>
        <w:widowControl w:val="0"/>
        <w:jc w:val="both"/>
        <w:rPr>
          <w:rFonts w:eastAsia="Lucida Sans Unicode"/>
          <w:bCs/>
          <w:iCs/>
          <w:kern w:val="20"/>
          <w:sz w:val="21"/>
          <w:szCs w:val="20"/>
          <w:lang w:eastAsia="hi-IN" w:bidi="hi-IN"/>
        </w:rPr>
      </w:pPr>
      <w:r>
        <w:rPr>
          <w:rFonts w:eastAsia="Lucida Sans Unicode"/>
          <w:bCs/>
          <w:iCs/>
          <w:kern w:val="20"/>
          <w:sz w:val="21"/>
          <w:szCs w:val="20"/>
          <w:lang w:eastAsia="hi-IN" w:bidi="hi-IN"/>
        </w:rPr>
        <w:t>- на МДБ, установленные в уличный дверной проем, который с внешней (уличной) стороны не оборудован холодным</w:t>
      </w:r>
    </w:p>
    <w:p w14:paraId="2077BA4E">
      <w:pPr>
        <w:widowControl w:val="0"/>
        <w:jc w:val="both"/>
        <w:rPr>
          <w:rFonts w:eastAsia="Lucida Sans Unicode"/>
          <w:bCs/>
          <w:iCs/>
          <w:kern w:val="20"/>
          <w:sz w:val="21"/>
          <w:szCs w:val="20"/>
          <w:lang w:eastAsia="hi-IN" w:bidi="hi-IN"/>
        </w:rPr>
      </w:pPr>
      <w:r>
        <w:rPr>
          <w:rFonts w:eastAsia="Lucida Sans Unicode"/>
          <w:bCs/>
          <w:iCs/>
          <w:kern w:val="20"/>
          <w:sz w:val="21"/>
          <w:szCs w:val="20"/>
          <w:lang w:eastAsia="hi-IN" w:bidi="hi-IN"/>
        </w:rPr>
        <w:t xml:space="preserve">   вентилируемым тамбуром или защитным козырьком, рекомендуемые размеры которого для стандартных дверей</w:t>
      </w:r>
    </w:p>
    <w:p w14:paraId="6126CDC3">
      <w:pPr>
        <w:widowControl w:val="0"/>
        <w:jc w:val="both"/>
        <w:rPr>
          <w:rFonts w:eastAsia="Lucida Sans Unicode"/>
          <w:bCs/>
          <w:iCs/>
          <w:kern w:val="20"/>
          <w:sz w:val="21"/>
          <w:szCs w:val="20"/>
          <w:lang w:eastAsia="hi-IN" w:bidi="hi-IN"/>
        </w:rPr>
      </w:pPr>
      <w:r>
        <w:rPr>
          <w:rFonts w:eastAsia="Lucida Sans Unicode"/>
          <w:bCs/>
          <w:iCs/>
          <w:kern w:val="20"/>
          <w:sz w:val="21"/>
          <w:szCs w:val="20"/>
          <w:lang w:eastAsia="hi-IN" w:bidi="hi-IN"/>
        </w:rPr>
        <w:t xml:space="preserve">   (ширина до 1050мм) составляют не менее 2000 х 2000 мм. Если МДБ нестандартного размера по ширине, то ширина</w:t>
      </w:r>
    </w:p>
    <w:p w14:paraId="30DBC7C9">
      <w:pPr>
        <w:widowControl w:val="0"/>
        <w:jc w:val="both"/>
        <w:rPr>
          <w:rFonts w:eastAsia="Lucida Sans Unicode"/>
          <w:bCs/>
          <w:iCs/>
          <w:kern w:val="20"/>
          <w:sz w:val="21"/>
          <w:szCs w:val="20"/>
          <w:lang w:eastAsia="hi-IN" w:bidi="hi-IN"/>
        </w:rPr>
      </w:pPr>
      <w:r>
        <w:rPr>
          <w:rFonts w:eastAsia="Lucida Sans Unicode"/>
          <w:bCs/>
          <w:iCs/>
          <w:kern w:val="20"/>
          <w:sz w:val="21"/>
          <w:szCs w:val="20"/>
          <w:lang w:eastAsia="hi-IN" w:bidi="hi-IN"/>
        </w:rPr>
        <w:t xml:space="preserve">   козырька должна превышать ширину МДБ не менее, чем на 1000мм. </w:t>
      </w:r>
    </w:p>
    <w:p w14:paraId="4C373A22">
      <w:pPr>
        <w:widowControl w:val="0"/>
        <w:rPr>
          <w:rFonts w:eastAsia="Lucida Sans Unicode"/>
          <w:bCs/>
          <w:iCs/>
          <w:kern w:val="20"/>
          <w:sz w:val="21"/>
          <w:szCs w:val="20"/>
          <w:lang w:eastAsia="hi-IN" w:bidi="hi-IN"/>
        </w:rPr>
      </w:pPr>
      <w:r>
        <w:rPr>
          <w:rFonts w:eastAsia="Lucida Sans Unicode"/>
          <w:bCs/>
          <w:iCs/>
          <w:kern w:val="20"/>
          <w:sz w:val="21"/>
          <w:szCs w:val="20"/>
          <w:lang w:eastAsia="hi-IN" w:bidi="hi-IN"/>
        </w:rPr>
        <w:t xml:space="preserve"> - на МДБ, установленные в уличный дверной проем, если помещение эксплуатируется не правильно, а именно:</w:t>
      </w:r>
    </w:p>
    <w:p w14:paraId="759FCF1A">
      <w:pPr>
        <w:widowControl w:val="0"/>
        <w:rPr>
          <w:rFonts w:eastAsia="Lucida Sans Unicode"/>
          <w:bCs/>
          <w:iCs/>
          <w:kern w:val="20"/>
          <w:sz w:val="21"/>
          <w:szCs w:val="20"/>
          <w:lang w:eastAsia="hi-IN" w:bidi="hi-IN"/>
        </w:rPr>
      </w:pPr>
      <w:r>
        <w:rPr>
          <w:rFonts w:eastAsia="Lucida Sans Unicode"/>
          <w:bCs/>
          <w:iCs/>
          <w:kern w:val="20"/>
          <w:sz w:val="21"/>
          <w:szCs w:val="20"/>
          <w:lang w:eastAsia="hi-IN" w:bidi="hi-IN"/>
        </w:rPr>
        <w:t xml:space="preserve">    отсутствует вентиляция, повышенная влажность воздуха в помещении (допускается зимой не более 45%, летом не</w:t>
      </w:r>
    </w:p>
    <w:p w14:paraId="2BBF0A7E">
      <w:pPr>
        <w:widowControl w:val="0"/>
        <w:rPr>
          <w:rFonts w:eastAsia="Lucida Sans Unicode"/>
          <w:bCs/>
          <w:iCs/>
          <w:kern w:val="20"/>
          <w:sz w:val="21"/>
          <w:szCs w:val="20"/>
          <w:rtl/>
          <w:lang w:eastAsia="hi-IN"/>
        </w:rPr>
      </w:pPr>
      <w:r>
        <w:rPr>
          <w:rFonts w:eastAsia="Lucida Sans Unicode"/>
          <w:bCs/>
          <w:iCs/>
          <w:kern w:val="20"/>
          <w:sz w:val="21"/>
          <w:szCs w:val="20"/>
          <w:lang w:eastAsia="hi-IN" w:bidi="hi-IN"/>
        </w:rPr>
        <w:t xml:space="preserve">   более 60%), температура воздуха в помещении в зимний период менее </w:t>
      </w:r>
      <w:r>
        <w:rPr>
          <w:rFonts w:eastAsia="Lucida Sans Unicode"/>
          <w:bCs/>
          <w:iCs/>
          <w:kern w:val="20"/>
          <w:sz w:val="21"/>
          <w:szCs w:val="20"/>
          <w:rtl/>
          <w:lang w:eastAsia="hi-IN"/>
        </w:rPr>
        <w:t xml:space="preserve"> С 20ْ</w:t>
      </w:r>
    </w:p>
    <w:p w14:paraId="2AFE0409">
      <w:pPr>
        <w:ind w:right="60"/>
        <w:jc w:val="both"/>
        <w:rPr>
          <w:rFonts w:eastAsia="Lucida Sans Unicode"/>
          <w:bCs/>
          <w:iCs/>
          <w:kern w:val="20"/>
          <w:sz w:val="21"/>
          <w:szCs w:val="20"/>
          <w:lang w:eastAsia="hi-IN" w:bidi="hi-IN"/>
        </w:rPr>
      </w:pPr>
      <w:r>
        <w:rPr>
          <w:rFonts w:eastAsia="Lucida Sans Unicode"/>
          <w:bCs/>
          <w:iCs/>
          <w:kern w:val="20"/>
          <w:sz w:val="21"/>
          <w:szCs w:val="20"/>
          <w:lang w:eastAsia="hi-IN" w:bidi="hi-IN"/>
        </w:rPr>
        <w:t xml:space="preserve"> - на МДБ, установленные в уличный дверной проём, если Покупатель отказался от дополнительной подготовки</w:t>
      </w:r>
    </w:p>
    <w:p w14:paraId="29CEE179">
      <w:pPr>
        <w:ind w:right="60"/>
        <w:jc w:val="both"/>
        <w:rPr>
          <w:rFonts w:eastAsia="Lucida Sans Unicode"/>
          <w:bCs/>
          <w:iCs/>
          <w:kern w:val="20"/>
          <w:sz w:val="21"/>
          <w:szCs w:val="20"/>
          <w:lang w:eastAsia="hi-IN" w:bidi="hi-IN"/>
        </w:rPr>
      </w:pPr>
      <w:r>
        <w:rPr>
          <w:rFonts w:eastAsia="Lucida Sans Unicode"/>
          <w:bCs/>
          <w:iCs/>
          <w:kern w:val="20"/>
          <w:sz w:val="21"/>
          <w:szCs w:val="20"/>
          <w:lang w:eastAsia="hi-IN" w:bidi="hi-IN"/>
        </w:rPr>
        <w:t xml:space="preserve">   (обработка металло-каркаса антикоррозийным грунтом, использование влагостойких материалов для изготовления </w:t>
      </w:r>
    </w:p>
    <w:p w14:paraId="7EE8B8D0">
      <w:pPr>
        <w:ind w:right="60"/>
        <w:jc w:val="both"/>
        <w:rPr>
          <w:kern w:val="20"/>
          <w:sz w:val="21"/>
          <w:szCs w:val="21"/>
        </w:rPr>
      </w:pPr>
      <w:r>
        <w:rPr>
          <w:rFonts w:eastAsia="Lucida Sans Unicode"/>
          <w:bCs/>
          <w:iCs/>
          <w:kern w:val="20"/>
          <w:sz w:val="21"/>
          <w:szCs w:val="20"/>
          <w:lang w:eastAsia="hi-IN" w:bidi="hi-IN"/>
        </w:rPr>
        <w:t xml:space="preserve">   декоративных панелей и наличников).</w:t>
      </w:r>
    </w:p>
    <w:p w14:paraId="4A2B4E4C">
      <w:pPr>
        <w:ind w:right="60"/>
        <w:jc w:val="both"/>
        <w:rPr>
          <w:sz w:val="21"/>
          <w:szCs w:val="21"/>
        </w:rPr>
      </w:pPr>
      <w:r>
        <w:rPr>
          <w:b/>
          <w:sz w:val="21"/>
          <w:szCs w:val="21"/>
        </w:rPr>
        <w:t>7.3.</w:t>
      </w:r>
      <w:r>
        <w:rPr>
          <w:sz w:val="21"/>
          <w:szCs w:val="21"/>
        </w:rPr>
        <w:t xml:space="preserve"> Выезд сервисной службы по гарантийным или аварийным случаям в населенные пункты удаленные более  30 км. от КАД (на севере, востоке, юге и от пересечения КАД с Выборгским и Таллинским шоссе на западе в сторону Кронштадта) оплачивается Заказчиком из расчета 40 рублей за километр начиная с 31-го.</w:t>
      </w:r>
    </w:p>
    <w:p w14:paraId="7AF36208">
      <w:pPr>
        <w:ind w:right="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7.4.Вскрытие МДБ допускается только сотрудниками, уполномоченными ООО «</w:t>
      </w:r>
      <w:r>
        <w:rPr>
          <w:b/>
          <w:bCs/>
          <w:sz w:val="22"/>
          <w:szCs w:val="22"/>
          <w:lang w:val="ru-RU"/>
        </w:rPr>
        <w:t>ЭКСПО</w:t>
      </w:r>
      <w:r>
        <w:rPr>
          <w:rFonts w:hint="default"/>
          <w:b/>
          <w:bCs/>
          <w:sz w:val="22"/>
          <w:szCs w:val="22"/>
          <w:lang w:val="ru-RU"/>
        </w:rPr>
        <w:t xml:space="preserve"> М</w:t>
      </w:r>
      <w:r>
        <w:rPr>
          <w:b/>
          <w:bCs/>
          <w:sz w:val="22"/>
          <w:szCs w:val="22"/>
        </w:rPr>
        <w:t>» в присутствии Покупателя или доверенного лица, указанного в Приложении №1 . В экстренных случаях обращаться: по тел. : (812) 334-85-86 доб. 3.</w:t>
      </w:r>
    </w:p>
    <w:p w14:paraId="47951D6E">
      <w:pPr>
        <w:ind w:right="60"/>
        <w:jc w:val="both"/>
        <w:rPr>
          <w:b/>
          <w:sz w:val="21"/>
          <w:szCs w:val="21"/>
        </w:rPr>
      </w:pPr>
      <w:r>
        <w:rPr>
          <w:b/>
          <w:bCs/>
          <w:sz w:val="22"/>
          <w:szCs w:val="22"/>
        </w:rPr>
        <w:t xml:space="preserve">                       </w:t>
      </w:r>
      <w:r>
        <w:rPr>
          <w:b/>
          <w:sz w:val="21"/>
          <w:szCs w:val="21"/>
        </w:rPr>
        <w:t xml:space="preserve">                      </w:t>
      </w:r>
    </w:p>
    <w:p w14:paraId="6081938A">
      <w:pPr>
        <w:ind w:right="60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                                    8. Порядок вступления в силу, изменения и расторжения договора.</w:t>
      </w:r>
    </w:p>
    <w:p w14:paraId="74267F42">
      <w:pPr>
        <w:ind w:right="60"/>
        <w:rPr>
          <w:b/>
          <w:sz w:val="21"/>
          <w:szCs w:val="21"/>
        </w:rPr>
      </w:pPr>
      <w:r>
        <w:rPr>
          <w:sz w:val="21"/>
          <w:szCs w:val="21"/>
        </w:rPr>
        <w:t>8.1.Настоящий договор вступает в силу с момента выполнения Покупателем  п. 6.1. договора.</w:t>
      </w:r>
      <w:r>
        <w:rPr>
          <w:b/>
          <w:sz w:val="21"/>
          <w:szCs w:val="21"/>
        </w:rPr>
        <w:t xml:space="preserve"> </w:t>
      </w:r>
    </w:p>
    <w:p w14:paraId="662474C6">
      <w:pPr>
        <w:ind w:right="60"/>
        <w:rPr>
          <w:sz w:val="21"/>
          <w:szCs w:val="21"/>
        </w:rPr>
      </w:pPr>
      <w:r>
        <w:rPr>
          <w:sz w:val="21"/>
          <w:szCs w:val="21"/>
        </w:rPr>
        <w:t xml:space="preserve">8.2.Любые соглашения сторон по изменению, дополнению условий настоящего договора или его расторжению имеют силу в том случае, если они оформлены в письменном виде и подписаны обеими сторонами договора.  </w:t>
      </w:r>
    </w:p>
    <w:p w14:paraId="2501441D">
      <w:pPr>
        <w:ind w:right="60" w:firstLine="708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9. Порядок разрешения споров между сторонами.</w:t>
      </w:r>
    </w:p>
    <w:p w14:paraId="10EFEAFE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9.1.Споры, которые могут возникнуть при исполнении условий настоящего договора, стороны будут стремиться разрешать путем переговоров. При не достижении взаимоприемлемого решения, сторона договора  вправе передать спорный вопрос на разрешение в судебном порядке в Суд по месту нахождения Продавца.  </w:t>
      </w:r>
    </w:p>
    <w:p w14:paraId="3DA010A2">
      <w:pPr>
        <w:ind w:right="60"/>
        <w:jc w:val="center"/>
        <w:rPr>
          <w:b/>
          <w:sz w:val="21"/>
          <w:szCs w:val="21"/>
        </w:rPr>
      </w:pPr>
    </w:p>
    <w:p w14:paraId="7B3F1B55">
      <w:pPr>
        <w:ind w:right="6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10. Прочие условия.</w:t>
      </w:r>
    </w:p>
    <w:p w14:paraId="3CB40F4A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10.1.</w:t>
      </w:r>
      <w:r>
        <w:rPr>
          <w:b/>
          <w:sz w:val="21"/>
          <w:szCs w:val="21"/>
        </w:rPr>
        <w:t>Покупатель подтверждает, что Продавец в полном объеме обеспечил его информацией о</w:t>
      </w:r>
      <w:r>
        <w:rPr>
          <w:sz w:val="21"/>
          <w:szCs w:val="21"/>
        </w:rPr>
        <w:t xml:space="preserve">: </w:t>
      </w:r>
    </w:p>
    <w:p w14:paraId="7E0140EC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технических и рабочих характеристиках МДБ (в том числе о наличии или об отсутствии в комплектации </w:t>
      </w:r>
    </w:p>
    <w:p w14:paraId="66CFD35B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таких опций как бронепластина, броненакладка, шторка «неман», девиаторы, вертикальные привода, ночная</w:t>
      </w:r>
    </w:p>
    <w:p w14:paraId="5867BE25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задвижка, защита от килечного ножа и т. д.)</w:t>
      </w:r>
    </w:p>
    <w:p w14:paraId="02DF724C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- работе запорных и регулировочных механизмов, включая регулировочные пластины под ночную задвижку и</w:t>
      </w:r>
    </w:p>
    <w:p w14:paraId="41C10ACC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 верхний замок (являющимися дополнительными опциями и не устанавливаемыми в штатной комплектации)</w:t>
      </w:r>
    </w:p>
    <w:p w14:paraId="58FAB9E5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внешнем виде декоративных панелей (материал покрытия панели, цвет по каталогу </w:t>
      </w:r>
      <w:r>
        <w:rPr>
          <w:sz w:val="21"/>
          <w:szCs w:val="21"/>
          <w:lang w:val="en-US"/>
        </w:rPr>
        <w:t>RAL</w:t>
      </w:r>
      <w:r>
        <w:rPr>
          <w:sz w:val="21"/>
          <w:szCs w:val="21"/>
        </w:rPr>
        <w:t xml:space="preserve"> или название</w:t>
      </w:r>
    </w:p>
    <w:p w14:paraId="01F77835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покрытия панели, схема фрезерования, толщина панели, способ  крепления к полотну) </w:t>
      </w:r>
    </w:p>
    <w:p w14:paraId="0175ECAB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цветовой гамме фурнитуры (ручки, накладки, вертушки, броненакладки) </w:t>
      </w:r>
    </w:p>
    <w:p w14:paraId="107D7A52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- вариантах окраски металлоконструкции</w:t>
      </w:r>
    </w:p>
    <w:p w14:paraId="500E9582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- способе установки и крепления МДБ в проёме</w:t>
      </w:r>
    </w:p>
    <w:p w14:paraId="457F936D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Данная информация указывается  в приложениях №1 и №2 к данному договору и заверяется подписью Покупателя </w:t>
      </w:r>
    </w:p>
    <w:p w14:paraId="08BEDA38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10.2. Оттенок покрытия декоративных панелей и полимерного напыления наносимого на металлические части МДБ может незначительно отличаться от оттенков демонстрационных образцов из-за не совпадения номеров партий на краски и покрытия панелей.</w:t>
      </w:r>
    </w:p>
    <w:p w14:paraId="3818AB92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10.3. Реквизиты, в т.ч. номера телефонов, адрес, указанные в договоре, верны и могут быть использованы Продавцом для направления Покупателю информации и документации, связанной с исполнением обязательств по договору.</w:t>
      </w:r>
    </w:p>
    <w:p w14:paraId="560B99AF">
      <w:pPr>
        <w:ind w:right="60"/>
        <w:jc w:val="both"/>
        <w:rPr>
          <w:sz w:val="21"/>
          <w:szCs w:val="21"/>
        </w:rPr>
      </w:pPr>
      <w:r>
        <w:rPr>
          <w:sz w:val="21"/>
          <w:szCs w:val="21"/>
        </w:rPr>
        <w:t>10.4.Покупатель подтверждает, что подписывая настоящий договор имеет все предусмотренные законом разрешения и полномочия для этого, и что Продавец, выполняя обязанности по настоящему договору, не нарушает чьих либо законных прав и интересов.</w:t>
      </w:r>
    </w:p>
    <w:p w14:paraId="4F2CCA1E">
      <w:pPr>
        <w:ind w:right="60"/>
        <w:rPr>
          <w:rFonts w:hint="default"/>
          <w:b/>
          <w:sz w:val="22"/>
          <w:szCs w:val="22"/>
          <w:lang w:val="ru-RU"/>
        </w:rPr>
      </w:pPr>
      <w:r>
        <w:rPr>
          <w:b/>
          <w:sz w:val="22"/>
          <w:szCs w:val="22"/>
        </w:rPr>
        <w:t xml:space="preserve"> </w:t>
      </w:r>
      <w:r>
        <w:rPr>
          <w:rFonts w:hint="default"/>
          <w:b/>
          <w:sz w:val="22"/>
          <w:szCs w:val="22"/>
          <w:lang w:val="ru-RU"/>
        </w:rPr>
        <w:t xml:space="preserve">                                                    11. Реквизиты сторон.                                                                                                                                                              </w:t>
      </w:r>
    </w:p>
    <w:tbl>
      <w:tblPr>
        <w:tblStyle w:val="4"/>
        <w:tblW w:w="0" w:type="auto"/>
        <w:tblInd w:w="-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"/>
        <w:gridCol w:w="5346"/>
        <w:gridCol w:w="5116"/>
        <w:gridCol w:w="31"/>
      </w:tblGrid>
      <w:tr w14:paraId="599227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112" w:type="dxa"/>
            <w:noWrap w:val="0"/>
            <w:vAlign w:val="top"/>
          </w:tcPr>
          <w:p w14:paraId="3D425219">
            <w:pPr>
              <w:autoSpaceDE w:val="0"/>
              <w:snapToGrid w:val="0"/>
              <w:spacing w:after="20"/>
              <w:jc w:val="center"/>
            </w:pPr>
          </w:p>
        </w:tc>
        <w:tc>
          <w:tcPr>
            <w:tcW w:w="5346" w:type="dxa"/>
            <w:noWrap w:val="0"/>
            <w:vAlign w:val="top"/>
          </w:tcPr>
          <w:p w14:paraId="59A04C39">
            <w:pPr>
              <w:autoSpaceDE w:val="0"/>
              <w:snapToGrid w:val="0"/>
              <w:spacing w:after="20"/>
              <w:rPr>
                <w:rFonts w:eastAsia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0"/>
                <w:szCs w:val="20"/>
              </w:rPr>
              <w:t xml:space="preserve">Продавец: </w:t>
            </w:r>
          </w:p>
        </w:tc>
        <w:tc>
          <w:tcPr>
            <w:tcW w:w="5116" w:type="dxa"/>
            <w:noWrap w:val="0"/>
            <w:vAlign w:val="top"/>
          </w:tcPr>
          <w:p w14:paraId="58A41496">
            <w:pPr>
              <w:autoSpaceDE w:val="0"/>
              <w:snapToGrid w:val="0"/>
              <w:spacing w:after="20"/>
              <w:rPr>
                <w:rFonts w:eastAsia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0"/>
                <w:szCs w:val="20"/>
              </w:rPr>
              <w:t>Покупатель:</w:t>
            </w:r>
          </w:p>
          <w:p w14:paraId="4BBB2468">
            <w:pPr>
              <w:autoSpaceDE w:val="0"/>
              <w:snapToGrid w:val="0"/>
              <w:spacing w:after="20"/>
              <w:rPr>
                <w:rFonts w:eastAsia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31" w:type="dxa"/>
            <w:noWrap w:val="0"/>
            <w:vAlign w:val="top"/>
          </w:tcPr>
          <w:p w14:paraId="5A0FE1CD">
            <w:pPr>
              <w:snapToGrid w:val="0"/>
              <w:spacing w:after="20"/>
              <w:jc w:val="center"/>
              <w:rPr>
                <w:rFonts w:eastAsia="Times New Roman CYR" w:cs="Times New Roman CYR"/>
                <w:sz w:val="20"/>
                <w:szCs w:val="20"/>
              </w:rPr>
            </w:pPr>
          </w:p>
        </w:tc>
      </w:tr>
      <w:tr w14:paraId="61DF0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6" w:hRule="atLeast"/>
        </w:trPr>
        <w:tc>
          <w:tcPr>
            <w:tcW w:w="112" w:type="dxa"/>
            <w:noWrap w:val="0"/>
            <w:vAlign w:val="top"/>
          </w:tcPr>
          <w:p w14:paraId="1AA86CF7">
            <w:pPr>
              <w:autoSpaceDE w:val="0"/>
              <w:snapToGrid w:val="0"/>
              <w:spacing w:after="20"/>
              <w:jc w:val="both"/>
              <w:rPr>
                <w:rFonts w:eastAsia="Times New Roman CYR" w:cs="Times New Roman CYR"/>
                <w:sz w:val="20"/>
                <w:szCs w:val="20"/>
              </w:rPr>
            </w:pPr>
          </w:p>
        </w:tc>
        <w:tc>
          <w:tcPr>
            <w:tcW w:w="5346" w:type="dxa"/>
            <w:noWrap w:val="0"/>
            <w:vAlign w:val="top"/>
          </w:tcPr>
          <w:p w14:paraId="05F8A176">
            <w:pPr>
              <w:autoSpaceDE w:val="0"/>
              <w:snapToGrid w:val="0"/>
              <w:spacing w:after="20" w:line="100" w:lineRule="atLeast"/>
              <w:jc w:val="both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0"/>
                <w:szCs w:val="20"/>
              </w:rPr>
              <w:t>ООО  “ЭКСПО М”</w:t>
            </w:r>
            <w:r>
              <w:rPr>
                <w:rFonts w:eastAsia="Times New Roman CYR" w:cs="Times New Roman CYR"/>
                <w:b/>
                <w:bCs/>
                <w:sz w:val="20"/>
                <w:szCs w:val="20"/>
              </w:rPr>
              <w:tab/>
            </w:r>
          </w:p>
          <w:p w14:paraId="79452A6F">
            <w:pPr>
              <w:autoSpaceDE w:val="0"/>
              <w:spacing w:after="20" w:line="240" w:lineRule="atLeast"/>
              <w:jc w:val="both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 xml:space="preserve">111621, г.Москва, ул. Косинская Б., дом №18, </w:t>
            </w:r>
          </w:p>
          <w:p w14:paraId="4E858493">
            <w:pPr>
              <w:autoSpaceDE w:val="0"/>
              <w:spacing w:after="20" w:line="240" w:lineRule="atLeast"/>
              <w:jc w:val="both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строение 4, комната 4,5,  этаж 1</w:t>
            </w:r>
          </w:p>
          <w:p w14:paraId="07B9EF32">
            <w:pPr>
              <w:autoSpaceDE w:val="0"/>
              <w:spacing w:after="20" w:line="240" w:lineRule="atLeast"/>
              <w:jc w:val="both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ИНН 7706443208; КПП 772001001</w:t>
            </w:r>
          </w:p>
          <w:p w14:paraId="744191BA">
            <w:pPr>
              <w:autoSpaceDE w:val="0"/>
              <w:spacing w:after="20" w:line="240" w:lineRule="atLeast"/>
              <w:jc w:val="both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р/с 40702810902870002179</w:t>
            </w:r>
          </w:p>
          <w:p w14:paraId="095E7BD1">
            <w:pPr>
              <w:autoSpaceDE w:val="0"/>
              <w:spacing w:after="20" w:line="240" w:lineRule="atLeast"/>
              <w:jc w:val="both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к/с 30101810200000000593</w:t>
            </w:r>
          </w:p>
          <w:p w14:paraId="0FEBA7FE">
            <w:pPr>
              <w:autoSpaceDE w:val="0"/>
              <w:spacing w:after="20" w:line="240" w:lineRule="atLeast"/>
              <w:jc w:val="both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в банке АО «АЛЬФА-БАНК» г.Москва</w:t>
            </w:r>
          </w:p>
          <w:p w14:paraId="3EDFAC84">
            <w:pPr>
              <w:autoSpaceDE w:val="0"/>
              <w:spacing w:after="20" w:line="240" w:lineRule="atLeast"/>
              <w:jc w:val="both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БИК 044525593</w:t>
            </w:r>
          </w:p>
          <w:p w14:paraId="15F19EF7">
            <w:pPr>
              <w:autoSpaceDE w:val="0"/>
              <w:spacing w:after="20" w:line="240" w:lineRule="atLeast"/>
              <w:jc w:val="both"/>
              <w:rPr>
                <w:rFonts w:hint="default" w:eastAsia="Times New Roman CYR" w:cs="Times New Roman CYR"/>
                <w:sz w:val="20"/>
                <w:szCs w:val="20"/>
                <w:lang w:val="ru-RU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тел: +7 (</w:t>
            </w:r>
            <w:r>
              <w:rPr>
                <w:rFonts w:hint="default" w:eastAsia="Times New Roman CYR" w:cs="Times New Roman CYR"/>
                <w:sz w:val="20"/>
                <w:szCs w:val="20"/>
                <w:lang w:val="ru-RU"/>
              </w:rPr>
              <w:t>812)</w:t>
            </w:r>
            <w:r>
              <w:rPr>
                <w:rFonts w:hint="default" w:eastAsia="Times New Roman CYR" w:cs="Times New Roman CYR"/>
                <w:sz w:val="20"/>
                <w:szCs w:val="20"/>
                <w:lang w:val="en-US"/>
              </w:rPr>
              <w:t xml:space="preserve"> </w:t>
            </w:r>
            <w:r>
              <w:rPr>
                <w:rFonts w:hint="default" w:eastAsia="Times New Roman CYR" w:cs="Times New Roman CYR"/>
                <w:sz w:val="20"/>
                <w:szCs w:val="20"/>
                <w:lang w:val="ru-RU"/>
              </w:rPr>
              <w:t>334-85-86</w:t>
            </w:r>
          </w:p>
          <w:p w14:paraId="4633C543">
            <w:pPr>
              <w:autoSpaceDE w:val="0"/>
              <w:spacing w:after="20" w:line="240" w:lineRule="atLeast"/>
              <w:jc w:val="both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dverineman@mail.ru</w:t>
            </w:r>
          </w:p>
          <w:p w14:paraId="073A2133">
            <w:pPr>
              <w:autoSpaceDE w:val="0"/>
              <w:spacing w:after="20" w:line="240" w:lineRule="atLeast"/>
              <w:jc w:val="both"/>
              <w:rPr>
                <w:rFonts w:eastAsia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116" w:type="dxa"/>
            <w:noWrap w:val="0"/>
            <w:vAlign w:val="top"/>
          </w:tcPr>
          <w:p w14:paraId="12EF9A77">
            <w:pPr>
              <w:autoSpaceDE w:val="0"/>
              <w:snapToGrid w:val="0"/>
              <w:spacing w:after="20"/>
              <w:jc w:val="both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b/>
                <w:bCs/>
                <w:sz w:val="20"/>
                <w:szCs w:val="20"/>
              </w:rPr>
              <w:t>Гр. ________________________________________________</w:t>
            </w:r>
          </w:p>
          <w:p w14:paraId="0590BBAE">
            <w:pPr>
              <w:autoSpaceDE w:val="0"/>
              <w:spacing w:after="20" w:line="240" w:lineRule="atLeast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паспорт _________________ выдан ________________ кем ___________________________________________________</w:t>
            </w:r>
          </w:p>
          <w:p w14:paraId="099F37BF">
            <w:pPr>
              <w:autoSpaceDE w:val="0"/>
              <w:spacing w:after="20" w:line="240" w:lineRule="atLeast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___________________________________________________</w:t>
            </w:r>
          </w:p>
          <w:p w14:paraId="1C6FA57B">
            <w:pPr>
              <w:autoSpaceDE w:val="0"/>
              <w:spacing w:after="20" w:line="240" w:lineRule="atLeast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Телефон:___________________________________________</w:t>
            </w:r>
          </w:p>
          <w:p w14:paraId="473E61DB">
            <w:pPr>
              <w:autoSpaceDE w:val="0"/>
              <w:spacing w:after="20" w:line="240" w:lineRule="atLeast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hint="default" w:eastAsia="Times New Roman CYR" w:cs="Times New Roman CYR"/>
                <w:sz w:val="20"/>
                <w:szCs w:val="20"/>
                <w:lang w:val="en-US"/>
              </w:rPr>
              <w:t>Em</w:t>
            </w:r>
            <w:r>
              <w:rPr>
                <w:rFonts w:eastAsia="Times New Roman CYR" w:cs="Times New Roman CYR"/>
                <w:sz w:val="20"/>
                <w:szCs w:val="20"/>
                <w:lang w:val="en-US"/>
              </w:rPr>
              <w:t>ail</w:t>
            </w:r>
            <w:r>
              <w:rPr>
                <w:rFonts w:eastAsia="Times New Roman CYR" w:cs="Times New Roman CYR"/>
                <w:sz w:val="20"/>
                <w:szCs w:val="20"/>
              </w:rPr>
              <w:t>______________________________________________</w:t>
            </w:r>
          </w:p>
          <w:p w14:paraId="09703CE6">
            <w:pPr>
              <w:autoSpaceDE w:val="0"/>
              <w:spacing w:after="20" w:line="240" w:lineRule="atLeast"/>
              <w:rPr>
                <w:rFonts w:eastAsia="Times New Roman CYR" w:cs="Times New Roman CYR"/>
                <w:sz w:val="20"/>
                <w:szCs w:val="20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Адрес приемки-передачи МДБ________________________ ___________________________________________________</w:t>
            </w:r>
          </w:p>
          <w:p w14:paraId="66A2FB41">
            <w:pPr>
              <w:autoSpaceDE w:val="0"/>
              <w:spacing w:after="20" w:line="240" w:lineRule="atLeast"/>
              <w:rPr>
                <w:rFonts w:eastAsia="Times New Roman CYR" w:cs="Times New Roman CYR"/>
                <w:sz w:val="20"/>
                <w:szCs w:val="20"/>
                <w:lang w:val="en-US"/>
              </w:rPr>
            </w:pPr>
            <w:r>
              <w:rPr>
                <w:rFonts w:eastAsia="Times New Roman CYR" w:cs="Times New Roman CYR"/>
                <w:sz w:val="20"/>
                <w:szCs w:val="20"/>
              </w:rPr>
              <w:t>Доверяю приёмку МДБ и ключей моему представителю ___________________________________________________</w:t>
            </w:r>
          </w:p>
        </w:tc>
        <w:tc>
          <w:tcPr>
            <w:tcW w:w="31" w:type="dxa"/>
            <w:noWrap w:val="0"/>
            <w:vAlign w:val="top"/>
          </w:tcPr>
          <w:p w14:paraId="31032723">
            <w:pPr>
              <w:snapToGrid w:val="0"/>
              <w:spacing w:after="20"/>
              <w:rPr>
                <w:rFonts w:eastAsia="Times New Roman CYR" w:cs="Times New Roman CYR"/>
                <w:sz w:val="20"/>
                <w:szCs w:val="20"/>
                <w:lang w:val="en-US"/>
              </w:rPr>
            </w:pPr>
          </w:p>
        </w:tc>
      </w:tr>
    </w:tbl>
    <w:p w14:paraId="2A432575">
      <w:pPr>
        <w:spacing w:after="20" w:line="240" w:lineRule="atLeast"/>
        <w:ind w:left="5460"/>
        <w:rPr>
          <w:sz w:val="20"/>
          <w:szCs w:val="20"/>
        </w:rPr>
      </w:pPr>
      <w:r>
        <w:rPr>
          <w:sz w:val="20"/>
          <w:szCs w:val="20"/>
        </w:rPr>
        <w:t xml:space="preserve">Договор мною прочитан. Предмет, условия и термины,                                                                                                                                                                                                                                                                указанные в договоре, мне  разъяснены и понятны. Даю согласие на обработку моих персональных данных.  </w:t>
      </w:r>
    </w:p>
    <w:p w14:paraId="719ADAE6">
      <w:pPr>
        <w:spacing w:after="20" w:line="240" w:lineRule="atLeast"/>
        <w:rPr>
          <w:sz w:val="20"/>
          <w:szCs w:val="20"/>
        </w:rPr>
      </w:pPr>
    </w:p>
    <w:p w14:paraId="7E1E6A18">
      <w:pPr>
        <w:spacing w:after="20" w:line="240" w:lineRule="atLeast"/>
        <w:rPr>
          <w:sz w:val="20"/>
          <w:szCs w:val="20"/>
        </w:rPr>
      </w:pPr>
    </w:p>
    <w:p w14:paraId="5D01F5C6">
      <w:pPr>
        <w:spacing w:after="20" w:line="240" w:lineRule="atLeast"/>
        <w:rPr>
          <w:sz w:val="20"/>
          <w:szCs w:val="20"/>
        </w:rPr>
      </w:pPr>
      <w:r>
        <w:rPr>
          <w:sz w:val="20"/>
          <w:szCs w:val="20"/>
        </w:rPr>
        <w:t xml:space="preserve">   ___________________________ /Курдюков С.В. /                     ______________________/__________________________/                   </w:t>
      </w:r>
    </w:p>
    <w:p w14:paraId="6C64C9EE">
      <w:pPr>
        <w:spacing w:after="20" w:line="240" w:lineRule="atLeast"/>
        <w:rPr>
          <w:sz w:val="20"/>
          <w:szCs w:val="20"/>
        </w:rPr>
      </w:pPr>
    </w:p>
    <w:p w14:paraId="13129BBF">
      <w:pPr>
        <w:spacing w:after="20" w:line="240" w:lineRule="atLeast"/>
        <w:rPr>
          <w:sz w:val="20"/>
          <w:szCs w:val="20"/>
        </w:rPr>
      </w:pPr>
    </w:p>
    <w:p w14:paraId="07E18718">
      <w:pPr>
        <w:tabs>
          <w:tab w:val="decimal" w:pos="5580"/>
        </w:tabs>
        <w:spacing w:line="220" w:lineRule="auto"/>
        <w:ind w:right="-7"/>
        <w:rPr>
          <w:sz w:val="16"/>
        </w:rPr>
      </w:pPr>
    </w:p>
    <w:sectPr>
      <w:footerReference r:id="rId3" w:type="default"/>
      <w:footerReference r:id="rId4" w:type="even"/>
      <w:pgSz w:w="11906" w:h="16838"/>
      <w:pgMar w:top="624" w:right="624" w:bottom="624" w:left="62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tarSymbol">
    <w:altName w:val="Adobe Fangsong Std R"/>
    <w:panose1 w:val="00000000000000000000"/>
    <w:charset w:val="8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042777">
    <w:pPr>
      <w:pStyle w:val="11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  <w:lang/>
      </w:rPr>
      <w:t>1</w:t>
    </w:r>
    <w:r>
      <w:rPr>
        <w:rStyle w:val="6"/>
      </w:rPr>
      <w:fldChar w:fldCharType="end"/>
    </w:r>
  </w:p>
  <w:p w14:paraId="1E866A21">
    <w:pPr>
      <w:pStyle w:val="11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2A0056">
    <w:pPr>
      <w:pStyle w:val="11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38E2F622">
    <w:pPr>
      <w:pStyle w:val="11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nforcement="0"/>
  <w:defaultTabStop w:val="708"/>
  <w:hyphenationZone w:val="360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D72"/>
    <w:rsid w:val="0000029B"/>
    <w:rsid w:val="0000274F"/>
    <w:rsid w:val="000057AB"/>
    <w:rsid w:val="0001789B"/>
    <w:rsid w:val="000311A7"/>
    <w:rsid w:val="00035E62"/>
    <w:rsid w:val="0003718A"/>
    <w:rsid w:val="00042B62"/>
    <w:rsid w:val="000572D8"/>
    <w:rsid w:val="00070C51"/>
    <w:rsid w:val="00083197"/>
    <w:rsid w:val="000B61F7"/>
    <w:rsid w:val="000E0B8E"/>
    <w:rsid w:val="000E4A12"/>
    <w:rsid w:val="00111689"/>
    <w:rsid w:val="00112F0F"/>
    <w:rsid w:val="00117B67"/>
    <w:rsid w:val="00121938"/>
    <w:rsid w:val="00150726"/>
    <w:rsid w:val="001639AB"/>
    <w:rsid w:val="001813F6"/>
    <w:rsid w:val="001947A0"/>
    <w:rsid w:val="001A0248"/>
    <w:rsid w:val="001A485F"/>
    <w:rsid w:val="001B4689"/>
    <w:rsid w:val="001D3EAA"/>
    <w:rsid w:val="001E2088"/>
    <w:rsid w:val="00212E58"/>
    <w:rsid w:val="00215591"/>
    <w:rsid w:val="00224C84"/>
    <w:rsid w:val="002251CD"/>
    <w:rsid w:val="00235EE5"/>
    <w:rsid w:val="00243B83"/>
    <w:rsid w:val="00247B9D"/>
    <w:rsid w:val="0025706A"/>
    <w:rsid w:val="002672BF"/>
    <w:rsid w:val="002835C7"/>
    <w:rsid w:val="00297A71"/>
    <w:rsid w:val="002B5321"/>
    <w:rsid w:val="002D0BC9"/>
    <w:rsid w:val="002D592E"/>
    <w:rsid w:val="002E0205"/>
    <w:rsid w:val="002E378E"/>
    <w:rsid w:val="002E4B00"/>
    <w:rsid w:val="002E6F7C"/>
    <w:rsid w:val="002F253E"/>
    <w:rsid w:val="002F48F0"/>
    <w:rsid w:val="002F5304"/>
    <w:rsid w:val="002F635B"/>
    <w:rsid w:val="003033A8"/>
    <w:rsid w:val="0032200E"/>
    <w:rsid w:val="00332220"/>
    <w:rsid w:val="00333418"/>
    <w:rsid w:val="003467C0"/>
    <w:rsid w:val="00360D00"/>
    <w:rsid w:val="003646FD"/>
    <w:rsid w:val="00374302"/>
    <w:rsid w:val="00381AFF"/>
    <w:rsid w:val="003A21FF"/>
    <w:rsid w:val="003C1B58"/>
    <w:rsid w:val="003C5422"/>
    <w:rsid w:val="003C6127"/>
    <w:rsid w:val="003D1D0E"/>
    <w:rsid w:val="003E3B24"/>
    <w:rsid w:val="003F501E"/>
    <w:rsid w:val="0040688B"/>
    <w:rsid w:val="00427A6A"/>
    <w:rsid w:val="00435708"/>
    <w:rsid w:val="004371B7"/>
    <w:rsid w:val="00451402"/>
    <w:rsid w:val="00455B19"/>
    <w:rsid w:val="004772B3"/>
    <w:rsid w:val="0048704B"/>
    <w:rsid w:val="0049544E"/>
    <w:rsid w:val="004A3649"/>
    <w:rsid w:val="004A4FEC"/>
    <w:rsid w:val="004B1676"/>
    <w:rsid w:val="004B7FEC"/>
    <w:rsid w:val="004C50D2"/>
    <w:rsid w:val="004C6B52"/>
    <w:rsid w:val="004D0057"/>
    <w:rsid w:val="004D2245"/>
    <w:rsid w:val="004E5315"/>
    <w:rsid w:val="004F4DF8"/>
    <w:rsid w:val="00501BF2"/>
    <w:rsid w:val="005050F3"/>
    <w:rsid w:val="00524AC3"/>
    <w:rsid w:val="00534C17"/>
    <w:rsid w:val="00566A71"/>
    <w:rsid w:val="00566D95"/>
    <w:rsid w:val="00574F59"/>
    <w:rsid w:val="0058585F"/>
    <w:rsid w:val="005A11E7"/>
    <w:rsid w:val="005A2951"/>
    <w:rsid w:val="005A2E93"/>
    <w:rsid w:val="005A3970"/>
    <w:rsid w:val="005B0909"/>
    <w:rsid w:val="005B33FD"/>
    <w:rsid w:val="005B617E"/>
    <w:rsid w:val="005B61C9"/>
    <w:rsid w:val="005C0226"/>
    <w:rsid w:val="005C2989"/>
    <w:rsid w:val="005D1094"/>
    <w:rsid w:val="005D2889"/>
    <w:rsid w:val="005D533B"/>
    <w:rsid w:val="005D5D1A"/>
    <w:rsid w:val="005E3C52"/>
    <w:rsid w:val="0060366D"/>
    <w:rsid w:val="0061664B"/>
    <w:rsid w:val="006206E0"/>
    <w:rsid w:val="0062281C"/>
    <w:rsid w:val="00624515"/>
    <w:rsid w:val="00625F7B"/>
    <w:rsid w:val="006428ED"/>
    <w:rsid w:val="00644F5E"/>
    <w:rsid w:val="006466EE"/>
    <w:rsid w:val="00680EC1"/>
    <w:rsid w:val="00682A58"/>
    <w:rsid w:val="00694ED5"/>
    <w:rsid w:val="006A3559"/>
    <w:rsid w:val="006A387D"/>
    <w:rsid w:val="006A76A3"/>
    <w:rsid w:val="006B01D1"/>
    <w:rsid w:val="006B0A7A"/>
    <w:rsid w:val="006B2F42"/>
    <w:rsid w:val="006B7E53"/>
    <w:rsid w:val="006D0C61"/>
    <w:rsid w:val="006D46AD"/>
    <w:rsid w:val="006E10B0"/>
    <w:rsid w:val="006E4C1F"/>
    <w:rsid w:val="006E51C3"/>
    <w:rsid w:val="00704A38"/>
    <w:rsid w:val="007104E3"/>
    <w:rsid w:val="007116F2"/>
    <w:rsid w:val="00715AA9"/>
    <w:rsid w:val="007165AE"/>
    <w:rsid w:val="00725A14"/>
    <w:rsid w:val="00725DA1"/>
    <w:rsid w:val="00726373"/>
    <w:rsid w:val="0072656F"/>
    <w:rsid w:val="00726A7A"/>
    <w:rsid w:val="0072771C"/>
    <w:rsid w:val="0073027F"/>
    <w:rsid w:val="00734805"/>
    <w:rsid w:val="00734E63"/>
    <w:rsid w:val="0074585B"/>
    <w:rsid w:val="00773626"/>
    <w:rsid w:val="00774042"/>
    <w:rsid w:val="00782FE9"/>
    <w:rsid w:val="00785288"/>
    <w:rsid w:val="00786883"/>
    <w:rsid w:val="00794F76"/>
    <w:rsid w:val="007A1CD6"/>
    <w:rsid w:val="007B0C2C"/>
    <w:rsid w:val="007B36E7"/>
    <w:rsid w:val="007C0805"/>
    <w:rsid w:val="007C0CC5"/>
    <w:rsid w:val="007C246B"/>
    <w:rsid w:val="007C4F8D"/>
    <w:rsid w:val="007D6729"/>
    <w:rsid w:val="007D6DBA"/>
    <w:rsid w:val="007E7A7B"/>
    <w:rsid w:val="007F0153"/>
    <w:rsid w:val="007F7351"/>
    <w:rsid w:val="0080639F"/>
    <w:rsid w:val="0081076A"/>
    <w:rsid w:val="00811AAD"/>
    <w:rsid w:val="00815F25"/>
    <w:rsid w:val="00817C92"/>
    <w:rsid w:val="00833B30"/>
    <w:rsid w:val="00852E28"/>
    <w:rsid w:val="00867D72"/>
    <w:rsid w:val="00874AC6"/>
    <w:rsid w:val="00874C9C"/>
    <w:rsid w:val="00883EA5"/>
    <w:rsid w:val="0089181E"/>
    <w:rsid w:val="00893E29"/>
    <w:rsid w:val="008B3A00"/>
    <w:rsid w:val="008B77A3"/>
    <w:rsid w:val="008C0A91"/>
    <w:rsid w:val="008C3F11"/>
    <w:rsid w:val="008D159A"/>
    <w:rsid w:val="008D250E"/>
    <w:rsid w:val="008D378E"/>
    <w:rsid w:val="008E3DC8"/>
    <w:rsid w:val="008F238E"/>
    <w:rsid w:val="008F43AE"/>
    <w:rsid w:val="008F72C3"/>
    <w:rsid w:val="00901EDD"/>
    <w:rsid w:val="0090686E"/>
    <w:rsid w:val="0091320B"/>
    <w:rsid w:val="00913920"/>
    <w:rsid w:val="009205F4"/>
    <w:rsid w:val="0092079E"/>
    <w:rsid w:val="00923C7F"/>
    <w:rsid w:val="009244DF"/>
    <w:rsid w:val="009360C2"/>
    <w:rsid w:val="0095351C"/>
    <w:rsid w:val="00960B31"/>
    <w:rsid w:val="00962478"/>
    <w:rsid w:val="009628EF"/>
    <w:rsid w:val="00995A29"/>
    <w:rsid w:val="009A0D90"/>
    <w:rsid w:val="009A79F3"/>
    <w:rsid w:val="009C05EA"/>
    <w:rsid w:val="009C1D64"/>
    <w:rsid w:val="009C4412"/>
    <w:rsid w:val="009D4532"/>
    <w:rsid w:val="009D75D3"/>
    <w:rsid w:val="009E4652"/>
    <w:rsid w:val="009E476E"/>
    <w:rsid w:val="009E6D1A"/>
    <w:rsid w:val="009F0E71"/>
    <w:rsid w:val="009F6DC2"/>
    <w:rsid w:val="00A046C3"/>
    <w:rsid w:val="00A0608D"/>
    <w:rsid w:val="00A126E2"/>
    <w:rsid w:val="00A246FB"/>
    <w:rsid w:val="00A30FEF"/>
    <w:rsid w:val="00A3264B"/>
    <w:rsid w:val="00A36A98"/>
    <w:rsid w:val="00A36F1D"/>
    <w:rsid w:val="00A40A37"/>
    <w:rsid w:val="00A463F4"/>
    <w:rsid w:val="00A51B05"/>
    <w:rsid w:val="00A529B3"/>
    <w:rsid w:val="00A736AA"/>
    <w:rsid w:val="00A746ED"/>
    <w:rsid w:val="00A90282"/>
    <w:rsid w:val="00A907B5"/>
    <w:rsid w:val="00A97541"/>
    <w:rsid w:val="00AA14E8"/>
    <w:rsid w:val="00AA2E97"/>
    <w:rsid w:val="00AA386F"/>
    <w:rsid w:val="00AA45F1"/>
    <w:rsid w:val="00AB3D6A"/>
    <w:rsid w:val="00AD09E9"/>
    <w:rsid w:val="00AD4DE4"/>
    <w:rsid w:val="00AF1C5F"/>
    <w:rsid w:val="00AF52E3"/>
    <w:rsid w:val="00B0032A"/>
    <w:rsid w:val="00B11696"/>
    <w:rsid w:val="00B144F0"/>
    <w:rsid w:val="00B1567D"/>
    <w:rsid w:val="00B162DD"/>
    <w:rsid w:val="00B222E0"/>
    <w:rsid w:val="00B36C41"/>
    <w:rsid w:val="00B42DDE"/>
    <w:rsid w:val="00B46C0A"/>
    <w:rsid w:val="00B57890"/>
    <w:rsid w:val="00B668C6"/>
    <w:rsid w:val="00B804AA"/>
    <w:rsid w:val="00B86B4B"/>
    <w:rsid w:val="00B9247B"/>
    <w:rsid w:val="00B946B4"/>
    <w:rsid w:val="00BA182F"/>
    <w:rsid w:val="00BB065E"/>
    <w:rsid w:val="00BC2AAF"/>
    <w:rsid w:val="00BC2D61"/>
    <w:rsid w:val="00BC47D3"/>
    <w:rsid w:val="00BC6380"/>
    <w:rsid w:val="00BC789C"/>
    <w:rsid w:val="00BC7D25"/>
    <w:rsid w:val="00BD46E2"/>
    <w:rsid w:val="00BD7890"/>
    <w:rsid w:val="00BE4F65"/>
    <w:rsid w:val="00BE673E"/>
    <w:rsid w:val="00C00EB8"/>
    <w:rsid w:val="00C027C3"/>
    <w:rsid w:val="00C07FE5"/>
    <w:rsid w:val="00C10AE9"/>
    <w:rsid w:val="00C11A7B"/>
    <w:rsid w:val="00C27EA1"/>
    <w:rsid w:val="00C3253E"/>
    <w:rsid w:val="00C368F1"/>
    <w:rsid w:val="00C40E41"/>
    <w:rsid w:val="00C4113C"/>
    <w:rsid w:val="00C42A7F"/>
    <w:rsid w:val="00C44A84"/>
    <w:rsid w:val="00C45F00"/>
    <w:rsid w:val="00C478AD"/>
    <w:rsid w:val="00C55E8B"/>
    <w:rsid w:val="00C560AC"/>
    <w:rsid w:val="00C77503"/>
    <w:rsid w:val="00C91D90"/>
    <w:rsid w:val="00C91D9A"/>
    <w:rsid w:val="00CB6743"/>
    <w:rsid w:val="00CB6DFB"/>
    <w:rsid w:val="00CC0794"/>
    <w:rsid w:val="00CC1952"/>
    <w:rsid w:val="00CD2FAB"/>
    <w:rsid w:val="00CD52C7"/>
    <w:rsid w:val="00CF2610"/>
    <w:rsid w:val="00D01DD8"/>
    <w:rsid w:val="00D028D8"/>
    <w:rsid w:val="00D11711"/>
    <w:rsid w:val="00D2443D"/>
    <w:rsid w:val="00D3698F"/>
    <w:rsid w:val="00D41A5E"/>
    <w:rsid w:val="00D46AAE"/>
    <w:rsid w:val="00D46AFE"/>
    <w:rsid w:val="00D56610"/>
    <w:rsid w:val="00D6378C"/>
    <w:rsid w:val="00D70337"/>
    <w:rsid w:val="00D8477B"/>
    <w:rsid w:val="00D93081"/>
    <w:rsid w:val="00D97999"/>
    <w:rsid w:val="00DA35C7"/>
    <w:rsid w:val="00DB0EA8"/>
    <w:rsid w:val="00DC6191"/>
    <w:rsid w:val="00DC72BA"/>
    <w:rsid w:val="00DC77DD"/>
    <w:rsid w:val="00DE234C"/>
    <w:rsid w:val="00DF1AEB"/>
    <w:rsid w:val="00E00194"/>
    <w:rsid w:val="00E04B0E"/>
    <w:rsid w:val="00E11447"/>
    <w:rsid w:val="00E15FBD"/>
    <w:rsid w:val="00E200F7"/>
    <w:rsid w:val="00E36080"/>
    <w:rsid w:val="00E5000A"/>
    <w:rsid w:val="00E510F1"/>
    <w:rsid w:val="00E51C47"/>
    <w:rsid w:val="00E5385B"/>
    <w:rsid w:val="00E615F7"/>
    <w:rsid w:val="00E65A27"/>
    <w:rsid w:val="00E73042"/>
    <w:rsid w:val="00E8056A"/>
    <w:rsid w:val="00E917DC"/>
    <w:rsid w:val="00E93B80"/>
    <w:rsid w:val="00E967FA"/>
    <w:rsid w:val="00EA286B"/>
    <w:rsid w:val="00EB7F8A"/>
    <w:rsid w:val="00EB7FFC"/>
    <w:rsid w:val="00EC42B6"/>
    <w:rsid w:val="00EC5510"/>
    <w:rsid w:val="00EC6622"/>
    <w:rsid w:val="00ED4F88"/>
    <w:rsid w:val="00ED657C"/>
    <w:rsid w:val="00EE36AD"/>
    <w:rsid w:val="00EE584D"/>
    <w:rsid w:val="00EF0C31"/>
    <w:rsid w:val="00EF1F5F"/>
    <w:rsid w:val="00F02284"/>
    <w:rsid w:val="00F023AB"/>
    <w:rsid w:val="00F20A20"/>
    <w:rsid w:val="00F23592"/>
    <w:rsid w:val="00F24752"/>
    <w:rsid w:val="00F326C4"/>
    <w:rsid w:val="00F327B7"/>
    <w:rsid w:val="00F44925"/>
    <w:rsid w:val="00F6290A"/>
    <w:rsid w:val="00F634C2"/>
    <w:rsid w:val="00F872E8"/>
    <w:rsid w:val="00FA7FB7"/>
    <w:rsid w:val="00FB5F2B"/>
    <w:rsid w:val="00FC2322"/>
    <w:rsid w:val="00FE3307"/>
    <w:rsid w:val="00FE6384"/>
    <w:rsid w:val="00FE7484"/>
    <w:rsid w:val="00FF5569"/>
    <w:rsid w:val="00FF6E12"/>
    <w:rsid w:val="0D324699"/>
    <w:rsid w:val="19206A6F"/>
    <w:rsid w:val="28D3187D"/>
    <w:rsid w:val="64C73242"/>
    <w:rsid w:val="6BE46F37"/>
    <w:rsid w:val="6BF221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uppressAutoHyphens/>
    </w:pPr>
    <w:rPr>
      <w:sz w:val="24"/>
      <w:szCs w:val="24"/>
      <w:lang w:val="ru-RU" w:eastAsia="ar-SA" w:bidi="ar-SA"/>
    </w:rPr>
  </w:style>
  <w:style w:type="paragraph" w:styleId="2">
    <w:name w:val="heading 3"/>
    <w:basedOn w:val="1"/>
    <w:next w:val="1"/>
    <w:qFormat/>
    <w:uiPriority w:val="0"/>
    <w:pPr>
      <w:keepNext/>
      <w:widowControl w:val="0"/>
      <w:tabs>
        <w:tab w:val="decimal" w:pos="5580"/>
      </w:tabs>
      <w:suppressAutoHyphens w:val="0"/>
      <w:autoSpaceDE w:val="0"/>
      <w:autoSpaceDN w:val="0"/>
      <w:adjustRightInd w:val="0"/>
      <w:spacing w:line="220" w:lineRule="auto"/>
      <w:ind w:right="-7"/>
      <w:outlineLvl w:val="2"/>
    </w:pPr>
    <w:rPr>
      <w:b/>
      <w:szCs w:val="22"/>
      <w:lang w:eastAsia="ru-RU"/>
    </w:rPr>
  </w:style>
  <w:style w:type="character" w:default="1" w:styleId="3">
    <w:name w:val="Default Paragraph Font"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uiPriority w:val="0"/>
    <w:rPr>
      <w:color w:val="0000FF"/>
      <w:u w:val="single"/>
    </w:rPr>
  </w:style>
  <w:style w:type="character" w:styleId="6">
    <w:name w:val="page number"/>
    <w:basedOn w:val="3"/>
    <w:uiPriority w:val="0"/>
  </w:style>
  <w:style w:type="paragraph" w:styleId="7">
    <w:name w:val="Balloon Text"/>
    <w:basedOn w:val="1"/>
    <w:uiPriority w:val="0"/>
    <w:rPr>
      <w:rFonts w:ascii="Tahoma" w:hAnsi="Tahoma" w:cs="Tahoma"/>
      <w:sz w:val="16"/>
      <w:szCs w:val="16"/>
    </w:rPr>
  </w:style>
  <w:style w:type="paragraph" w:styleId="8">
    <w:name w:val="header"/>
    <w:basedOn w:val="1"/>
    <w:uiPriority w:val="0"/>
    <w:pPr>
      <w:tabs>
        <w:tab w:val="center" w:pos="4677"/>
        <w:tab w:val="right" w:pos="9355"/>
      </w:tabs>
    </w:pPr>
  </w:style>
  <w:style w:type="paragraph" w:styleId="9">
    <w:name w:val="Body Text"/>
    <w:basedOn w:val="1"/>
    <w:uiPriority w:val="0"/>
    <w:pPr>
      <w:spacing w:before="0" w:after="120"/>
    </w:pPr>
  </w:style>
  <w:style w:type="paragraph" w:styleId="10">
    <w:name w:val="Title"/>
    <w:basedOn w:val="1"/>
    <w:next w:val="9"/>
    <w:qFormat/>
    <w:uiPriority w:val="0"/>
  </w:style>
  <w:style w:type="paragraph" w:styleId="11">
    <w:name w:val="footer"/>
    <w:basedOn w:val="1"/>
    <w:uiPriority w:val="0"/>
    <w:pPr>
      <w:tabs>
        <w:tab w:val="center" w:pos="4677"/>
        <w:tab w:val="right" w:pos="9355"/>
      </w:tabs>
    </w:pPr>
  </w:style>
  <w:style w:type="paragraph" w:styleId="12">
    <w:name w:val="List"/>
    <w:basedOn w:val="9"/>
    <w:uiPriority w:val="0"/>
    <w:rPr>
      <w:rFonts w:cs="Tahoma"/>
    </w:rPr>
  </w:style>
  <w:style w:type="paragraph" w:styleId="13">
    <w:name w:val="Subtitle"/>
    <w:basedOn w:val="10"/>
    <w:next w:val="9"/>
    <w:qFormat/>
    <w:uiPriority w:val="0"/>
    <w:pPr>
      <w:jc w:val="center"/>
    </w:pPr>
    <w:rPr>
      <w:i/>
      <w:iCs/>
      <w:sz w:val="28"/>
      <w:szCs w:val="28"/>
    </w:rPr>
  </w:style>
  <w:style w:type="character" w:customStyle="1" w:styleId="14">
    <w:name w:val="Absatz-Standardschriftart"/>
    <w:uiPriority w:val="0"/>
  </w:style>
  <w:style w:type="character" w:customStyle="1" w:styleId="15">
    <w:name w:val="WW-Absatz-Standardschriftart"/>
    <w:uiPriority w:val="0"/>
  </w:style>
  <w:style w:type="character" w:customStyle="1" w:styleId="16">
    <w:name w:val="WW-Absatz-Standardschriftart1"/>
    <w:uiPriority w:val="0"/>
  </w:style>
  <w:style w:type="character" w:customStyle="1" w:styleId="17">
    <w:name w:val="WW-Absatz-Standardschriftart11"/>
    <w:uiPriority w:val="0"/>
  </w:style>
  <w:style w:type="character" w:customStyle="1" w:styleId="18">
    <w:name w:val="WW-Absatz-Standardschriftart111"/>
    <w:uiPriority w:val="0"/>
  </w:style>
  <w:style w:type="character" w:customStyle="1" w:styleId="19">
    <w:name w:val="WW-Absatz-Standardschriftart1111"/>
    <w:uiPriority w:val="0"/>
  </w:style>
  <w:style w:type="character" w:customStyle="1" w:styleId="20">
    <w:name w:val="WW-Absatz-Standardschriftart11111"/>
    <w:uiPriority w:val="0"/>
  </w:style>
  <w:style w:type="character" w:customStyle="1" w:styleId="21">
    <w:name w:val="WW-Absatz-Standardschriftart111111"/>
    <w:uiPriority w:val="0"/>
  </w:style>
  <w:style w:type="character" w:customStyle="1" w:styleId="22">
    <w:name w:val="WW-Absatz-Standardschriftart1111111"/>
    <w:uiPriority w:val="0"/>
  </w:style>
  <w:style w:type="character" w:customStyle="1" w:styleId="23">
    <w:name w:val="WW-Absatz-Standardschriftart11111111"/>
    <w:uiPriority w:val="0"/>
  </w:style>
  <w:style w:type="character" w:customStyle="1" w:styleId="24">
    <w:name w:val="WW-Absatz-Standardschriftart111111111"/>
    <w:uiPriority w:val="0"/>
  </w:style>
  <w:style w:type="character" w:customStyle="1" w:styleId="25">
    <w:name w:val="WW-Absatz-Standardschriftart1111111111"/>
    <w:uiPriority w:val="0"/>
  </w:style>
  <w:style w:type="character" w:customStyle="1" w:styleId="26">
    <w:name w:val="WW-Absatz-Standardschriftart11111111111"/>
    <w:uiPriority w:val="0"/>
  </w:style>
  <w:style w:type="character" w:customStyle="1" w:styleId="27">
    <w:name w:val="WW-Absatz-Standardschriftart111111111111"/>
    <w:uiPriority w:val="0"/>
  </w:style>
  <w:style w:type="character" w:customStyle="1" w:styleId="28">
    <w:name w:val="WW-Absatz-Standardschriftart1111111111111"/>
    <w:uiPriority w:val="0"/>
  </w:style>
  <w:style w:type="character" w:customStyle="1" w:styleId="29">
    <w:name w:val="WW-Absatz-Standardschriftart11111111111111"/>
    <w:uiPriority w:val="0"/>
  </w:style>
  <w:style w:type="character" w:customStyle="1" w:styleId="30">
    <w:name w:val="WW-Absatz-Standardschriftart111111111111111"/>
    <w:uiPriority w:val="0"/>
  </w:style>
  <w:style w:type="character" w:customStyle="1" w:styleId="31">
    <w:name w:val="WW-Absatz-Standardschriftart1111111111111111"/>
    <w:uiPriority w:val="0"/>
  </w:style>
  <w:style w:type="character" w:customStyle="1" w:styleId="32">
    <w:name w:val="WW-Absatz-Standardschriftart11111111111111111"/>
    <w:uiPriority w:val="0"/>
  </w:style>
  <w:style w:type="character" w:customStyle="1" w:styleId="33">
    <w:name w:val="Основной шрифт абзаца5"/>
    <w:uiPriority w:val="0"/>
  </w:style>
  <w:style w:type="character" w:customStyle="1" w:styleId="34">
    <w:name w:val="Основной шрифт абзаца4"/>
    <w:uiPriority w:val="0"/>
  </w:style>
  <w:style w:type="character" w:customStyle="1" w:styleId="35">
    <w:name w:val="WW-Absatz-Standardschriftart111111111111111111"/>
    <w:uiPriority w:val="0"/>
  </w:style>
  <w:style w:type="character" w:customStyle="1" w:styleId="36">
    <w:name w:val="Основной шрифт абзаца3"/>
    <w:uiPriority w:val="0"/>
  </w:style>
  <w:style w:type="character" w:customStyle="1" w:styleId="37">
    <w:name w:val="Основной шрифт абзаца2"/>
    <w:uiPriority w:val="0"/>
  </w:style>
  <w:style w:type="character" w:customStyle="1" w:styleId="38">
    <w:name w:val="WW-Absatz-Standardschriftart1111111111111111111"/>
    <w:uiPriority w:val="0"/>
  </w:style>
  <w:style w:type="character" w:customStyle="1" w:styleId="39">
    <w:name w:val="WW-Absatz-Standardschriftart11111111111111111111"/>
    <w:uiPriority w:val="0"/>
  </w:style>
  <w:style w:type="character" w:customStyle="1" w:styleId="40">
    <w:name w:val="WW-Absatz-Standardschriftart111111111111111111111"/>
    <w:uiPriority w:val="0"/>
  </w:style>
  <w:style w:type="character" w:customStyle="1" w:styleId="41">
    <w:name w:val="WW-Absatz-Standardschriftart1111111111111111111111"/>
    <w:uiPriority w:val="0"/>
  </w:style>
  <w:style w:type="character" w:customStyle="1" w:styleId="42">
    <w:name w:val="WW-Absatz-Standardschriftart11111111111111111111111"/>
    <w:uiPriority w:val="0"/>
  </w:style>
  <w:style w:type="character" w:customStyle="1" w:styleId="43">
    <w:name w:val="WW-Absatz-Standardschriftart111111111111111111111111"/>
    <w:uiPriority w:val="0"/>
  </w:style>
  <w:style w:type="character" w:customStyle="1" w:styleId="44">
    <w:name w:val="WW-Absatz-Standardschriftart1111111111111111111111111"/>
    <w:uiPriority w:val="0"/>
  </w:style>
  <w:style w:type="character" w:customStyle="1" w:styleId="45">
    <w:name w:val="WW-Absatz-Standardschriftart11111111111111111111111111"/>
    <w:uiPriority w:val="0"/>
  </w:style>
  <w:style w:type="character" w:customStyle="1" w:styleId="46">
    <w:name w:val="WW-Absatz-Standardschriftart111111111111111111111111111"/>
    <w:uiPriority w:val="0"/>
  </w:style>
  <w:style w:type="character" w:customStyle="1" w:styleId="47">
    <w:name w:val="WW-Absatz-Standardschriftart1111111111111111111111111111"/>
    <w:uiPriority w:val="0"/>
  </w:style>
  <w:style w:type="character" w:customStyle="1" w:styleId="48">
    <w:name w:val="WW-Absatz-Standardschriftart11111111111111111111111111111"/>
    <w:uiPriority w:val="0"/>
  </w:style>
  <w:style w:type="character" w:customStyle="1" w:styleId="49">
    <w:name w:val="WW-Absatz-Standardschriftart111111111111111111111111111111"/>
    <w:uiPriority w:val="0"/>
  </w:style>
  <w:style w:type="character" w:customStyle="1" w:styleId="50">
    <w:name w:val="WW-Absatz-Standardschriftart1111111111111111111111111111111"/>
    <w:uiPriority w:val="0"/>
  </w:style>
  <w:style w:type="character" w:customStyle="1" w:styleId="51">
    <w:name w:val="WW-Absatz-Standardschriftart11111111111111111111111111111111"/>
    <w:uiPriority w:val="0"/>
  </w:style>
  <w:style w:type="character" w:customStyle="1" w:styleId="52">
    <w:name w:val="WW-Absatz-Standardschriftart111111111111111111111111111111111"/>
    <w:uiPriority w:val="0"/>
  </w:style>
  <w:style w:type="character" w:customStyle="1" w:styleId="53">
    <w:name w:val="Основной шрифт абзаца1"/>
    <w:uiPriority w:val="0"/>
  </w:style>
  <w:style w:type="character" w:customStyle="1" w:styleId="54">
    <w:name w:val="Маркеры списка"/>
    <w:uiPriority w:val="0"/>
    <w:rPr>
      <w:rFonts w:ascii="StarSymbol" w:hAnsi="StarSymbol" w:eastAsia="StarSymbol" w:cs="StarSymbol"/>
      <w:sz w:val="18"/>
      <w:szCs w:val="18"/>
    </w:rPr>
  </w:style>
  <w:style w:type="character" w:customStyle="1" w:styleId="55">
    <w:name w:val="Символ нумерации"/>
    <w:uiPriority w:val="0"/>
  </w:style>
  <w:style w:type="paragraph" w:customStyle="1" w:styleId="56">
    <w:name w:val="Название5"/>
    <w:basedOn w:val="1"/>
    <w:uiPriority w:val="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57">
    <w:name w:val="Указатель5"/>
    <w:basedOn w:val="1"/>
    <w:uiPriority w:val="0"/>
    <w:pPr>
      <w:suppressLineNumbers/>
    </w:pPr>
    <w:rPr>
      <w:rFonts w:cs="Tahoma"/>
    </w:rPr>
  </w:style>
  <w:style w:type="paragraph" w:customStyle="1" w:styleId="58">
    <w:name w:val="Название4"/>
    <w:basedOn w:val="1"/>
    <w:uiPriority w:val="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59">
    <w:name w:val="Указатель4"/>
    <w:basedOn w:val="1"/>
    <w:uiPriority w:val="0"/>
    <w:pPr>
      <w:suppressLineNumbers/>
    </w:pPr>
    <w:rPr>
      <w:rFonts w:cs="Tahoma"/>
    </w:rPr>
  </w:style>
  <w:style w:type="paragraph" w:customStyle="1" w:styleId="60">
    <w:name w:val="Название3"/>
    <w:basedOn w:val="1"/>
    <w:uiPriority w:val="0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61">
    <w:name w:val="Указатель3"/>
    <w:basedOn w:val="1"/>
    <w:uiPriority w:val="0"/>
    <w:pPr>
      <w:suppressLineNumbers/>
    </w:pPr>
    <w:rPr>
      <w:rFonts w:ascii="Arial" w:hAnsi="Arial" w:cs="Tahoma"/>
    </w:rPr>
  </w:style>
  <w:style w:type="paragraph" w:customStyle="1" w:styleId="62">
    <w:name w:val="Название2"/>
    <w:basedOn w:val="1"/>
    <w:uiPriority w:val="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63">
    <w:name w:val="Указатель2"/>
    <w:basedOn w:val="1"/>
    <w:uiPriority w:val="0"/>
    <w:pPr>
      <w:suppressLineNumbers/>
    </w:pPr>
    <w:rPr>
      <w:rFonts w:cs="Tahoma"/>
    </w:rPr>
  </w:style>
  <w:style w:type="paragraph" w:customStyle="1" w:styleId="64">
    <w:name w:val="Название1"/>
    <w:basedOn w:val="1"/>
    <w:uiPriority w:val="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65">
    <w:name w:val="Указатель1"/>
    <w:basedOn w:val="1"/>
    <w:uiPriority w:val="0"/>
    <w:pPr>
      <w:suppressLineNumbers/>
    </w:pPr>
    <w:rPr>
      <w:rFonts w:cs="Tahom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MoBIL GROUP</Company>
  <Pages>4</Pages>
  <Words>2353</Words>
  <Characters>16171</Characters>
  <Lines>163</Lines>
  <Paragraphs>46</Paragraphs>
  <TotalTime>65</TotalTime>
  <ScaleCrop>false</ScaleCrop>
  <LinksUpToDate>false</LinksUpToDate>
  <CharactersWithSpaces>22481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2026-01-26T12:49:00Z</dcterms:created>
  <dc:creator>1</dc:creator>
  <cp:lastModifiedBy>Leonid</cp:lastModifiedBy>
  <cp:lastPrinted>2026-07-16T08:03:36Z</cp:lastPrinted>
  <dcterms:modified xsi:type="dcterms:W3CDTF">2026-08-06T13:10:53Z</dcterms:modified>
  <dc:title>ДОГОВОР № ____________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eyJoZGlkIjoiZDIwNGUzNWFlYzgwNzNiMmE4ZjViMGVhODdmMzQ1MTciLCJ1c2VySWQiOiI4MjQ2MzY0MDMxOTQifQ==</vt:lpwstr>
  </property>
  <property fmtid="{D5CDD505-2E9C-101B-9397-08002B2CF9AE}" pid="3" name="KSOProductBuildVer">
    <vt:lpwstr>1049-12.1.0.28032</vt:lpwstr>
  </property>
  <property fmtid="{D5CDD505-2E9C-101B-9397-08002B2CF9AE}" pid="4" name="ICV">
    <vt:lpwstr>98D449E9243847138A6F1F6F37A94062_13</vt:lpwstr>
  </property>
</Properties>
</file>